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Default="00080016" w:rsidP="00501A0C">
      <w:pPr>
        <w:spacing w:before="83" w:line="242" w:lineRule="auto"/>
        <w:ind w:left="400" w:right="551"/>
        <w:jc w:val="center"/>
        <w:rPr>
          <w:b/>
          <w:sz w:val="24"/>
        </w:rPr>
      </w:pPr>
      <w:r w:rsidRPr="00080016">
        <w:rPr>
          <w:b/>
          <w:sz w:val="24"/>
        </w:rPr>
        <w:t>END USER CHARACTERISTICS IN PROMOTING MAINTENANCE CULTURE WITHIN SHARED FACILITIES</w:t>
      </w:r>
    </w:p>
    <w:p w:rsidR="008118C8" w:rsidRDefault="00080016" w:rsidP="004B153E">
      <w:pPr>
        <w:pStyle w:val="BodyText"/>
        <w:spacing w:before="233" w:line="203" w:lineRule="exact"/>
        <w:ind w:left="142"/>
        <w:jc w:val="center"/>
      </w:pPr>
      <w:r w:rsidRPr="00080016">
        <w:t xml:space="preserve">Nor </w:t>
      </w:r>
      <w:proofErr w:type="spellStart"/>
      <w:r w:rsidRPr="00080016">
        <w:t>Zaimah</w:t>
      </w:r>
      <w:proofErr w:type="spellEnd"/>
      <w:r w:rsidRPr="00080016">
        <w:t xml:space="preserve"> Che-Ghani</w:t>
      </w:r>
      <w:r w:rsidR="002E6373">
        <w:rPr>
          <w:w w:val="105"/>
          <w:vertAlign w:val="superscript"/>
        </w:rPr>
        <w:t>1</w:t>
      </w:r>
      <w:r w:rsidR="002E6373">
        <w:rPr>
          <w:w w:val="105"/>
        </w:rPr>
        <w:t xml:space="preserve">, </w:t>
      </w:r>
      <w:proofErr w:type="spellStart"/>
      <w:r w:rsidRPr="00080016">
        <w:rPr>
          <w:w w:val="105"/>
        </w:rPr>
        <w:t>Nik</w:t>
      </w:r>
      <w:proofErr w:type="spellEnd"/>
      <w:r w:rsidRPr="00080016">
        <w:rPr>
          <w:w w:val="105"/>
        </w:rPr>
        <w:t xml:space="preserve"> </w:t>
      </w:r>
      <w:proofErr w:type="spellStart"/>
      <w:r w:rsidRPr="00080016">
        <w:rPr>
          <w:w w:val="105"/>
        </w:rPr>
        <w:t>Elyna</w:t>
      </w:r>
      <w:proofErr w:type="spellEnd"/>
      <w:r w:rsidRPr="00080016">
        <w:rPr>
          <w:w w:val="105"/>
        </w:rPr>
        <w:t xml:space="preserve"> </w:t>
      </w:r>
      <w:proofErr w:type="spellStart"/>
      <w:r w:rsidRPr="00080016">
        <w:rPr>
          <w:w w:val="105"/>
        </w:rPr>
        <w:t>Myeda</w:t>
      </w:r>
      <w:proofErr w:type="spellEnd"/>
      <w:r w:rsidR="00452020">
        <w:rPr>
          <w:w w:val="105"/>
        </w:rPr>
        <w:t>*</w:t>
      </w:r>
      <w:r w:rsidR="002E6373">
        <w:rPr>
          <w:w w:val="105"/>
          <w:vertAlign w:val="superscript"/>
        </w:rPr>
        <w:t>2</w:t>
      </w:r>
      <w:r w:rsidR="002E6373">
        <w:rPr>
          <w:w w:val="105"/>
        </w:rPr>
        <w:t xml:space="preserve">, </w:t>
      </w:r>
      <w:proofErr w:type="spellStart"/>
      <w:r w:rsidRPr="001128DB">
        <w:t>Azlan</w:t>
      </w:r>
      <w:proofErr w:type="spellEnd"/>
      <w:r w:rsidRPr="001128DB">
        <w:t xml:space="preserve"> Shah Bin Ali</w:t>
      </w:r>
      <w:r w:rsidR="004B153E" w:rsidRPr="004B153E">
        <w:rPr>
          <w:w w:val="105"/>
          <w:vertAlign w:val="superscript"/>
        </w:rPr>
        <w:t>3</w:t>
      </w:r>
    </w:p>
    <w:p w:rsidR="008118C8" w:rsidRDefault="002E6373">
      <w:pPr>
        <w:spacing w:before="22" w:line="230" w:lineRule="exact"/>
        <w:ind w:left="449" w:right="496"/>
        <w:jc w:val="center"/>
        <w:rPr>
          <w:i/>
          <w:w w:val="105"/>
          <w:sz w:val="19"/>
        </w:rPr>
      </w:pPr>
      <w:r>
        <w:rPr>
          <w:i/>
          <w:w w:val="105"/>
          <w:position w:val="10"/>
          <w:sz w:val="13"/>
        </w:rPr>
        <w:t>1</w:t>
      </w:r>
      <w:proofErr w:type="gramStart"/>
      <w:r>
        <w:rPr>
          <w:i/>
          <w:w w:val="105"/>
          <w:position w:val="10"/>
          <w:sz w:val="13"/>
        </w:rPr>
        <w:t>,2,3</w:t>
      </w:r>
      <w:r>
        <w:rPr>
          <w:i/>
          <w:w w:val="105"/>
          <w:sz w:val="19"/>
        </w:rPr>
        <w:t>Faculty</w:t>
      </w:r>
      <w:proofErr w:type="gramEnd"/>
      <w:r>
        <w:rPr>
          <w:i/>
          <w:w w:val="105"/>
          <w:sz w:val="19"/>
        </w:rPr>
        <w:t xml:space="preserve"> of </w:t>
      </w:r>
      <w:r w:rsidR="004B153E" w:rsidRPr="004B153E">
        <w:rPr>
          <w:i/>
          <w:w w:val="105"/>
          <w:sz w:val="19"/>
          <w:lang w:val="en-GB"/>
        </w:rPr>
        <w:t>Built Envi</w:t>
      </w:r>
      <w:r w:rsidR="004B153E">
        <w:rPr>
          <w:i/>
          <w:w w:val="105"/>
          <w:sz w:val="19"/>
          <w:lang w:val="en-GB"/>
        </w:rPr>
        <w:t>r</w:t>
      </w:r>
      <w:r w:rsidR="004B153E" w:rsidRPr="004B153E">
        <w:rPr>
          <w:i/>
          <w:w w:val="105"/>
          <w:sz w:val="19"/>
          <w:lang w:val="en-GB"/>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lang w:val="en-GB"/>
        </w:rPr>
      </w:pPr>
      <w:r>
        <w:rPr>
          <w:w w:val="105"/>
        </w:rPr>
        <w:t xml:space="preserve">*Corresponding author: </w:t>
      </w:r>
      <w:r w:rsidR="00B8672F" w:rsidRPr="00B8672F">
        <w:rPr>
          <w:u w:val="single"/>
          <w:lang w:val="en-GB"/>
        </w:rPr>
        <w:t>elyna@um.edu.my</w:t>
      </w:r>
    </w:p>
    <w:p w:rsidR="008118C8" w:rsidRDefault="008118C8">
      <w:pPr>
        <w:pStyle w:val="BodyText"/>
        <w:rPr>
          <w:sz w:val="20"/>
        </w:rPr>
      </w:pPr>
    </w:p>
    <w:p w:rsidR="008118C8" w:rsidRDefault="008118C8">
      <w:pPr>
        <w:pStyle w:val="BodyText"/>
        <w:spacing w:before="1"/>
        <w:rPr>
          <w:sz w:val="21"/>
        </w:rPr>
      </w:pPr>
    </w:p>
    <w:p w:rsidR="008118C8" w:rsidRDefault="002E6373">
      <w:pPr>
        <w:pStyle w:val="Heading1"/>
        <w:rPr>
          <w:w w:val="105"/>
        </w:rPr>
      </w:pPr>
      <w:r>
        <w:rPr>
          <w:w w:val="105"/>
        </w:rPr>
        <w:t>Abstract</w:t>
      </w:r>
    </w:p>
    <w:p w:rsidR="00613C4B" w:rsidRDefault="00CC6561" w:rsidP="00CC6561">
      <w:pPr>
        <w:pStyle w:val="Heading1"/>
        <w:jc w:val="both"/>
        <w:rPr>
          <w:b w:val="0"/>
          <w:w w:val="105"/>
        </w:rPr>
      </w:pPr>
      <w:r w:rsidRPr="00CC6561">
        <w:rPr>
          <w:b w:val="0"/>
          <w:w w:val="105"/>
        </w:rPr>
        <w:t xml:space="preserve">Stratified residential building is related to </w:t>
      </w:r>
      <w:proofErr w:type="gramStart"/>
      <w:r w:rsidRPr="00CC6561">
        <w:rPr>
          <w:b w:val="0"/>
          <w:w w:val="105"/>
        </w:rPr>
        <w:t>shared</w:t>
      </w:r>
      <w:proofErr w:type="gramEnd"/>
      <w:r w:rsidRPr="00CC6561">
        <w:rPr>
          <w:b w:val="0"/>
          <w:w w:val="105"/>
        </w:rPr>
        <w:t xml:space="preserve"> community area where the facilities are being shared among neighborhood. Thus, it requires responsible and considerate attitude to buildings, public facilities and environment. Various problems have continued to arise in the management of stratified residential buildings due to lack of standard guidelines and </w:t>
      </w:r>
      <w:proofErr w:type="gramStart"/>
      <w:r w:rsidRPr="00CC6561">
        <w:rPr>
          <w:b w:val="0"/>
          <w:w w:val="105"/>
        </w:rPr>
        <w:t>professionalism which</w:t>
      </w:r>
      <w:proofErr w:type="gramEnd"/>
      <w:r w:rsidRPr="00CC6561">
        <w:rPr>
          <w:b w:val="0"/>
          <w:w w:val="105"/>
        </w:rPr>
        <w:t xml:space="preserve"> lead to low quality of service performance. One of the contributing factors in performance of maintenance services is the uncontrollable of end user characteristics. </w:t>
      </w:r>
      <w:proofErr w:type="gramStart"/>
      <w:r w:rsidRPr="00CC6561">
        <w:rPr>
          <w:b w:val="0"/>
          <w:w w:val="105"/>
        </w:rPr>
        <w:t>So</w:t>
      </w:r>
      <w:proofErr w:type="gramEnd"/>
      <w:r w:rsidRPr="00CC6561">
        <w:rPr>
          <w:b w:val="0"/>
          <w:w w:val="105"/>
        </w:rPr>
        <w:t xml:space="preserve">, this paper aims to investigate the relationship of the end user characteristics and their satisfaction towards maintenance performance. To achieve the objectives of the study, a set of questionnaire surveys </w:t>
      </w:r>
      <w:proofErr w:type="gramStart"/>
      <w:r w:rsidRPr="00CC6561">
        <w:rPr>
          <w:b w:val="0"/>
          <w:w w:val="105"/>
        </w:rPr>
        <w:t>were distributed</w:t>
      </w:r>
      <w:proofErr w:type="gramEnd"/>
      <w:r w:rsidRPr="00CC6561">
        <w:rPr>
          <w:b w:val="0"/>
          <w:w w:val="105"/>
        </w:rPr>
        <w:t xml:space="preserve"> to the residents (end users) of stratified residential building in </w:t>
      </w:r>
      <w:proofErr w:type="spellStart"/>
      <w:r w:rsidRPr="00CC6561">
        <w:rPr>
          <w:b w:val="0"/>
          <w:w w:val="105"/>
        </w:rPr>
        <w:t>Klang</w:t>
      </w:r>
      <w:proofErr w:type="spellEnd"/>
      <w:r w:rsidRPr="00CC6561">
        <w:rPr>
          <w:b w:val="0"/>
          <w:w w:val="105"/>
        </w:rPr>
        <w:t xml:space="preserve"> Valley. The constructs for end user characteristics are prevention of vandalism, regulation and compliance, use and accessibility to the property, reporting and response problems and demand and expectation of end user. Whereas, the constructs for user satisfaction namely waiting time response for maintenance staff, waiting period to request repairs, worth of maintenance fee, frequency of failure, staff professionalism and overall satisfaction. Results of this study concluded that the relationship between end user characteristics and satisfaction towards maintenance performance are significant. This paper proposes that to enhance the performance of service maintenance in shared area like stratified residential building, adopting and practicing maintenance culture within end users are a stepping stone to produce effective operation and maintenance management in future.</w:t>
      </w:r>
    </w:p>
    <w:p w:rsidR="00CC6561" w:rsidRDefault="00CC6561" w:rsidP="00CC6561">
      <w:pPr>
        <w:pStyle w:val="Heading1"/>
        <w:jc w:val="both"/>
        <w:rPr>
          <w:b w:val="0"/>
          <w:w w:val="105"/>
        </w:rPr>
      </w:pPr>
    </w:p>
    <w:p w:rsidR="008118C8" w:rsidRDefault="002E6373">
      <w:pPr>
        <w:pStyle w:val="Heading1"/>
        <w:jc w:val="both"/>
        <w:rPr>
          <w:w w:val="105"/>
        </w:rPr>
      </w:pPr>
      <w:r>
        <w:rPr>
          <w:w w:val="105"/>
        </w:rPr>
        <w:t>Keywords:</w:t>
      </w:r>
    </w:p>
    <w:p w:rsidR="00613C4B" w:rsidRDefault="00CC6561" w:rsidP="00CC6561">
      <w:pPr>
        <w:pStyle w:val="Heading1"/>
        <w:jc w:val="both"/>
        <w:rPr>
          <w:b w:val="0"/>
          <w:w w:val="105"/>
        </w:rPr>
      </w:pPr>
      <w:r w:rsidRPr="00CC6561">
        <w:rPr>
          <w:b w:val="0"/>
          <w:w w:val="105"/>
        </w:rPr>
        <w:t>Maintenance Performance, End User Characteristics, End User Satisfaction, Maintenance Culture, Stratified Residential Buildings</w:t>
      </w:r>
    </w:p>
    <w:p w:rsidR="00CC6561" w:rsidRPr="00CC6561" w:rsidRDefault="00CC6561" w:rsidP="00CC6561">
      <w:pPr>
        <w:pStyle w:val="Heading1"/>
        <w:jc w:val="both"/>
        <w:rPr>
          <w:b w:val="0"/>
          <w:w w:val="105"/>
        </w:rPr>
      </w:pPr>
    </w:p>
    <w:p w:rsidR="008118C8" w:rsidRPr="00C661E3" w:rsidRDefault="002E6373">
      <w:pPr>
        <w:spacing w:line="183" w:lineRule="exact"/>
        <w:ind w:left="105"/>
        <w:jc w:val="both"/>
        <w:rPr>
          <w:sz w:val="16"/>
        </w:rPr>
      </w:pPr>
      <w:bookmarkStart w:id="0" w:name="_GoBack"/>
      <w:bookmarkEnd w:id="0"/>
      <w:r w:rsidRPr="00C661E3">
        <w:rPr>
          <w:b/>
          <w:i/>
          <w:sz w:val="16"/>
        </w:rPr>
        <w:t>Article history:</w:t>
      </w:r>
    </w:p>
    <w:p w:rsidR="00545517" w:rsidRPr="00C661E3" w:rsidRDefault="00545517">
      <w:pPr>
        <w:spacing w:line="183" w:lineRule="exact"/>
        <w:ind w:left="105"/>
        <w:jc w:val="both"/>
        <w:rPr>
          <w:sz w:val="16"/>
        </w:rPr>
      </w:pPr>
      <w:r w:rsidRPr="00C661E3">
        <w:rPr>
          <w:sz w:val="16"/>
        </w:rPr>
        <w:t>Submitted: 2/11/2017; Revised: 28/11/2017;</w:t>
      </w:r>
      <w:r w:rsidR="00452020">
        <w:rPr>
          <w:sz w:val="16"/>
        </w:rPr>
        <w:t xml:space="preserve"> Accepted: 26/01/2018; Online: </w:t>
      </w:r>
      <w:r w:rsidR="004A209C">
        <w:rPr>
          <w:sz w:val="16"/>
        </w:rPr>
        <w:t>1/06/2018</w:t>
      </w:r>
    </w:p>
    <w:p w:rsidR="008118C8" w:rsidRDefault="008118C8">
      <w:pPr>
        <w:pStyle w:val="BodyText"/>
        <w:spacing w:before="6"/>
        <w:rPr>
          <w:sz w:val="24"/>
        </w:rPr>
      </w:pPr>
    </w:p>
    <w:p w:rsidR="008118C8" w:rsidRDefault="002E6373">
      <w:pPr>
        <w:pStyle w:val="Heading1"/>
        <w:jc w:val="both"/>
        <w:rPr>
          <w:w w:val="105"/>
        </w:rPr>
      </w:pPr>
      <w:r>
        <w:rPr>
          <w:w w:val="105"/>
        </w:rPr>
        <w:t>BACKGROUND OF STUDY</w:t>
      </w:r>
    </w:p>
    <w:p w:rsidR="00F56E79" w:rsidRDefault="00744067">
      <w:pPr>
        <w:pStyle w:val="Heading1"/>
        <w:jc w:val="both"/>
        <w:rPr>
          <w:b w:val="0"/>
          <w:w w:val="105"/>
        </w:rPr>
      </w:pPr>
      <w:r w:rsidRPr="00744067">
        <w:rPr>
          <w:b w:val="0"/>
          <w:w w:val="105"/>
        </w:rPr>
        <w:t xml:space="preserve">Strata living are sharing public facilities with other residents. It requires responsibility and considerate attitude of residents towards buildings, public facilities and community to make sure the surroundings is well managed and maintained. As example by </w:t>
      </w:r>
      <w:proofErr w:type="spellStart"/>
      <w:r w:rsidRPr="00744067">
        <w:rPr>
          <w:b w:val="0"/>
          <w:w w:val="105"/>
        </w:rPr>
        <w:t>Yau</w:t>
      </w:r>
      <w:proofErr w:type="spellEnd"/>
      <w:r w:rsidRPr="00744067">
        <w:rPr>
          <w:b w:val="0"/>
          <w:w w:val="105"/>
        </w:rPr>
        <w:t xml:space="preserve"> (2011), majority of residents in Hong Kong live in multi-storey residential buildings where they have to share the entire building structure, common areas and shared facilities. Various problems </w:t>
      </w:r>
      <w:proofErr w:type="gramStart"/>
      <w:r w:rsidRPr="00744067">
        <w:rPr>
          <w:b w:val="0"/>
          <w:w w:val="105"/>
        </w:rPr>
        <w:t>have been continued</w:t>
      </w:r>
      <w:proofErr w:type="gramEnd"/>
      <w:r w:rsidRPr="00744067">
        <w:rPr>
          <w:b w:val="0"/>
          <w:w w:val="105"/>
        </w:rPr>
        <w:t xml:space="preserve"> to arise in the management of stratified residential buildings due to lack of standard guideline and professionalism resulting in low quality of the service performance. For instance, poor service performance like insignificant technical condition and lack of maintenance are due to vandalism by end user (</w:t>
      </w:r>
      <w:proofErr w:type="spellStart"/>
      <w:r w:rsidRPr="00744067">
        <w:rPr>
          <w:b w:val="0"/>
          <w:w w:val="105"/>
        </w:rPr>
        <w:t>Liias</w:t>
      </w:r>
      <w:proofErr w:type="spellEnd"/>
      <w:r w:rsidRPr="00744067">
        <w:rPr>
          <w:b w:val="0"/>
          <w:w w:val="105"/>
        </w:rPr>
        <w:t xml:space="preserve">, 2007). There are also many problems faced by maintenance management to operate and sustain the building because of influence of culture practices (Mohammad et al., 2014). </w:t>
      </w:r>
      <w:proofErr w:type="gramStart"/>
      <w:r w:rsidRPr="00744067">
        <w:rPr>
          <w:b w:val="0"/>
          <w:w w:val="105"/>
        </w:rPr>
        <w:t>End user behavior and way of living is influenced by their cultural background</w:t>
      </w:r>
      <w:proofErr w:type="gramEnd"/>
      <w:r w:rsidRPr="00744067">
        <w:rPr>
          <w:b w:val="0"/>
          <w:w w:val="105"/>
        </w:rPr>
        <w:t>. The way of their living lifestyles like perform their duties and deal with others can differ from one culture to another (Al-</w:t>
      </w:r>
      <w:proofErr w:type="spellStart"/>
      <w:r w:rsidRPr="00744067">
        <w:rPr>
          <w:b w:val="0"/>
          <w:w w:val="105"/>
        </w:rPr>
        <w:t>Arjani</w:t>
      </w:r>
      <w:proofErr w:type="spellEnd"/>
      <w:r w:rsidRPr="00744067">
        <w:rPr>
          <w:b w:val="0"/>
          <w:w w:val="105"/>
        </w:rPr>
        <w:t xml:space="preserve">, 1995). End user behavior also </w:t>
      </w:r>
      <w:proofErr w:type="gramStart"/>
      <w:r w:rsidRPr="00744067">
        <w:rPr>
          <w:b w:val="0"/>
          <w:w w:val="105"/>
        </w:rPr>
        <w:t>has been recognized</w:t>
      </w:r>
      <w:proofErr w:type="gramEnd"/>
      <w:r w:rsidRPr="00744067">
        <w:rPr>
          <w:b w:val="0"/>
          <w:w w:val="105"/>
        </w:rPr>
        <w:t xml:space="preserve"> as a major source of building performance uncertainty (O'Brien and </w:t>
      </w:r>
      <w:proofErr w:type="spellStart"/>
      <w:r w:rsidRPr="00744067">
        <w:rPr>
          <w:b w:val="0"/>
          <w:w w:val="105"/>
        </w:rPr>
        <w:t>Gunay</w:t>
      </w:r>
      <w:proofErr w:type="spellEnd"/>
      <w:r w:rsidRPr="00744067">
        <w:rPr>
          <w:b w:val="0"/>
          <w:w w:val="105"/>
        </w:rPr>
        <w:t xml:space="preserve">, 2014). </w:t>
      </w:r>
      <w:proofErr w:type="gramStart"/>
      <w:r w:rsidRPr="00744067">
        <w:rPr>
          <w:b w:val="0"/>
          <w:w w:val="105"/>
        </w:rPr>
        <w:t>But</w:t>
      </w:r>
      <w:proofErr w:type="gramEnd"/>
      <w:r w:rsidRPr="00744067">
        <w:rPr>
          <w:b w:val="0"/>
          <w:w w:val="105"/>
        </w:rPr>
        <w:t xml:space="preserve">, the main problem remains especially with the end user who is taking care of the decisions and organizing improvement and maintenance. Awareness of these circumstances should motivate all parties to make decision not only on investment in technical solutions, but also on the costs of the services to </w:t>
      </w:r>
      <w:proofErr w:type="gramStart"/>
      <w:r w:rsidRPr="00744067">
        <w:rPr>
          <w:b w:val="0"/>
          <w:w w:val="105"/>
        </w:rPr>
        <w:t>be provided</w:t>
      </w:r>
      <w:proofErr w:type="gramEnd"/>
      <w:r w:rsidRPr="00744067">
        <w:rPr>
          <w:b w:val="0"/>
          <w:w w:val="105"/>
        </w:rPr>
        <w:t xml:space="preserve"> (</w:t>
      </w:r>
      <w:proofErr w:type="spellStart"/>
      <w:r w:rsidRPr="00744067">
        <w:rPr>
          <w:b w:val="0"/>
          <w:w w:val="105"/>
        </w:rPr>
        <w:t>Liias</w:t>
      </w:r>
      <w:proofErr w:type="spellEnd"/>
      <w:r w:rsidRPr="00744067">
        <w:rPr>
          <w:b w:val="0"/>
          <w:w w:val="105"/>
        </w:rPr>
        <w:t>, 2007).</w:t>
      </w:r>
    </w:p>
    <w:p w:rsidR="00744067" w:rsidRPr="00744067" w:rsidRDefault="00744067">
      <w:pPr>
        <w:pStyle w:val="Heading1"/>
        <w:jc w:val="both"/>
        <w:rPr>
          <w:w w:val="105"/>
        </w:rPr>
      </w:pPr>
    </w:p>
    <w:p w:rsidR="00F56E79" w:rsidRPr="00744067" w:rsidRDefault="00F56E79">
      <w:pPr>
        <w:pStyle w:val="Heading1"/>
        <w:jc w:val="both"/>
        <w:rPr>
          <w:w w:val="105"/>
        </w:rPr>
      </w:pPr>
      <w:r w:rsidRPr="00744067">
        <w:rPr>
          <w:w w:val="105"/>
        </w:rPr>
        <w:t>LITERATURE REVIEW</w:t>
      </w:r>
    </w:p>
    <w:p w:rsidR="00F56E79" w:rsidRDefault="00F56E79">
      <w:pPr>
        <w:pStyle w:val="Heading1"/>
        <w:jc w:val="both"/>
        <w:rPr>
          <w:b w:val="0"/>
          <w:w w:val="105"/>
        </w:rPr>
      </w:pPr>
    </w:p>
    <w:p w:rsidR="007E6C0B" w:rsidRDefault="00FC32FD" w:rsidP="00F56E79">
      <w:pPr>
        <w:pStyle w:val="Heading1"/>
        <w:jc w:val="both"/>
        <w:rPr>
          <w:i/>
          <w:w w:val="105"/>
        </w:rPr>
      </w:pPr>
      <w:r>
        <w:rPr>
          <w:i/>
          <w:w w:val="105"/>
        </w:rPr>
        <w:t>Maintenance C</w:t>
      </w:r>
      <w:r w:rsidRPr="00FC32FD">
        <w:rPr>
          <w:i/>
          <w:w w:val="105"/>
        </w:rPr>
        <w:t>ulture</w:t>
      </w:r>
    </w:p>
    <w:p w:rsidR="007E6C0B" w:rsidRPr="007E6C0B" w:rsidRDefault="007E6C0B" w:rsidP="007E6C0B">
      <w:pPr>
        <w:pStyle w:val="Heading1"/>
        <w:jc w:val="both"/>
        <w:rPr>
          <w:b w:val="0"/>
          <w:w w:val="105"/>
        </w:rPr>
      </w:pPr>
      <w:r w:rsidRPr="007E6C0B">
        <w:rPr>
          <w:b w:val="0"/>
          <w:w w:val="105"/>
        </w:rPr>
        <w:t xml:space="preserve">Maintenance culture is not universal in nature. It </w:t>
      </w:r>
      <w:proofErr w:type="gramStart"/>
      <w:r w:rsidRPr="007E6C0B">
        <w:rPr>
          <w:b w:val="0"/>
          <w:w w:val="105"/>
        </w:rPr>
        <w:t>is usually learned</w:t>
      </w:r>
      <w:proofErr w:type="gramEnd"/>
      <w:r w:rsidRPr="007E6C0B">
        <w:rPr>
          <w:b w:val="0"/>
          <w:w w:val="105"/>
        </w:rPr>
        <w:t xml:space="preserve"> through a person making maintenance a natural daily practice that can be followed by others. It </w:t>
      </w:r>
      <w:proofErr w:type="gramStart"/>
      <w:r w:rsidRPr="007E6C0B">
        <w:rPr>
          <w:b w:val="0"/>
          <w:w w:val="105"/>
        </w:rPr>
        <w:t>can be defined</w:t>
      </w:r>
      <w:proofErr w:type="gramEnd"/>
      <w:r w:rsidRPr="007E6C0B">
        <w:rPr>
          <w:b w:val="0"/>
          <w:w w:val="105"/>
        </w:rPr>
        <w:t xml:space="preserve"> as the values, way of thinking, behavior, perception, and underlying assumptions of any person or group of the society that considers maintenance as a matter that is important and practices it in their life. This type of person or group, they intend to maintain, preserve and protect public facilities because they practice </w:t>
      </w:r>
      <w:r w:rsidRPr="007E6C0B">
        <w:rPr>
          <w:b w:val="0"/>
          <w:w w:val="105"/>
        </w:rPr>
        <w:lastRenderedPageBreak/>
        <w:t>maintenance culture in daily life (</w:t>
      </w:r>
      <w:proofErr w:type="spellStart"/>
      <w:r w:rsidRPr="007E6C0B">
        <w:rPr>
          <w:b w:val="0"/>
          <w:w w:val="105"/>
          <w:lang w:val="en-GB"/>
        </w:rPr>
        <w:t>Suwaibatul</w:t>
      </w:r>
      <w:proofErr w:type="spellEnd"/>
      <w:r w:rsidRPr="007E6C0B">
        <w:rPr>
          <w:b w:val="0"/>
          <w:w w:val="105"/>
          <w:lang w:val="en-GB"/>
        </w:rPr>
        <w:t xml:space="preserve"> </w:t>
      </w:r>
      <w:proofErr w:type="spellStart"/>
      <w:r w:rsidRPr="007E6C0B">
        <w:rPr>
          <w:b w:val="0"/>
          <w:w w:val="105"/>
          <w:lang w:val="en-GB"/>
        </w:rPr>
        <w:t>Islamiah</w:t>
      </w:r>
      <w:proofErr w:type="spellEnd"/>
      <w:r w:rsidRPr="007E6C0B">
        <w:rPr>
          <w:b w:val="0"/>
          <w:w w:val="105"/>
          <w:lang w:val="en-GB"/>
        </w:rPr>
        <w:t xml:space="preserve"> et al.</w:t>
      </w:r>
      <w:r w:rsidRPr="007E6C0B">
        <w:rPr>
          <w:b w:val="0"/>
          <w:i/>
          <w:w w:val="105"/>
          <w:lang w:val="en-GB"/>
        </w:rPr>
        <w:t xml:space="preserve">, </w:t>
      </w:r>
      <w:r w:rsidRPr="007E6C0B">
        <w:rPr>
          <w:b w:val="0"/>
          <w:w w:val="105"/>
          <w:lang w:val="en-GB"/>
        </w:rPr>
        <w:t>2012</w:t>
      </w:r>
      <w:r w:rsidRPr="007E6C0B">
        <w:rPr>
          <w:b w:val="0"/>
          <w:i/>
          <w:w w:val="105"/>
          <w:lang w:val="en-GB"/>
        </w:rPr>
        <w:t>)</w:t>
      </w:r>
      <w:r w:rsidRPr="007E6C0B">
        <w:rPr>
          <w:b w:val="0"/>
          <w:w w:val="105"/>
        </w:rPr>
        <w:t xml:space="preserve">. These cultures are not easy to develop because it is time consuming and occurs depending of the end user attitude </w:t>
      </w:r>
      <w:bookmarkStart w:id="1" w:name="Mendeley_Bookmark_y8q4bmXMlO"/>
      <w:r w:rsidRPr="007E6C0B">
        <w:rPr>
          <w:b w:val="0"/>
          <w:w w:val="105"/>
        </w:rPr>
        <w:t>(Abdullah Sani et al., 2012)</w:t>
      </w:r>
      <w:bookmarkEnd w:id="1"/>
      <w:r w:rsidRPr="007E6C0B">
        <w:rPr>
          <w:b w:val="0"/>
          <w:w w:val="105"/>
        </w:rPr>
        <w:t xml:space="preserve">. Maintenance culture </w:t>
      </w:r>
      <w:proofErr w:type="gramStart"/>
      <w:r w:rsidRPr="007E6C0B">
        <w:rPr>
          <w:b w:val="0"/>
          <w:w w:val="105"/>
        </w:rPr>
        <w:t>has been acknowledged</w:t>
      </w:r>
      <w:proofErr w:type="gramEnd"/>
      <w:r w:rsidRPr="007E6C0B">
        <w:rPr>
          <w:b w:val="0"/>
          <w:w w:val="105"/>
        </w:rPr>
        <w:t xml:space="preserve"> as one of the important aspect in increasing quality of maintenance work (Sani, 2017). It </w:t>
      </w:r>
      <w:proofErr w:type="gramStart"/>
      <w:r w:rsidRPr="007E6C0B">
        <w:rPr>
          <w:b w:val="0"/>
          <w:w w:val="105"/>
        </w:rPr>
        <w:t>should be initiated</w:t>
      </w:r>
      <w:proofErr w:type="gramEnd"/>
      <w:r w:rsidRPr="007E6C0B">
        <w:rPr>
          <w:b w:val="0"/>
          <w:w w:val="105"/>
        </w:rPr>
        <w:t xml:space="preserve"> with the change of mindsets and attitudes to promote skill improvement and continuous knowledge, and improvement in performance of maintenance activities (</w:t>
      </w:r>
      <w:proofErr w:type="spellStart"/>
      <w:r w:rsidRPr="007E6C0B">
        <w:rPr>
          <w:b w:val="0"/>
          <w:w w:val="105"/>
          <w:lang w:val="en-GB"/>
        </w:rPr>
        <w:t>Reiman</w:t>
      </w:r>
      <w:proofErr w:type="spellEnd"/>
      <w:r w:rsidRPr="007E6C0B">
        <w:rPr>
          <w:b w:val="0"/>
          <w:w w:val="105"/>
          <w:lang w:val="en-GB"/>
        </w:rPr>
        <w:t xml:space="preserve"> and </w:t>
      </w:r>
      <w:proofErr w:type="spellStart"/>
      <w:r w:rsidRPr="007E6C0B">
        <w:rPr>
          <w:b w:val="0"/>
          <w:w w:val="105"/>
          <w:lang w:val="en-GB"/>
        </w:rPr>
        <w:t>Oedewald</w:t>
      </w:r>
      <w:proofErr w:type="spellEnd"/>
      <w:r w:rsidRPr="007E6C0B">
        <w:rPr>
          <w:b w:val="0"/>
          <w:w w:val="105"/>
          <w:lang w:val="en-GB"/>
        </w:rPr>
        <w:t>, 2004)</w:t>
      </w:r>
      <w:r w:rsidRPr="007E6C0B">
        <w:rPr>
          <w:b w:val="0"/>
          <w:w w:val="105"/>
        </w:rPr>
        <w:t>. Cultural change needs to break indigenous moulds of poor perception, inappropriate behavior of the old patterns, and old-fashioned beliefs and values (</w:t>
      </w:r>
      <w:r w:rsidRPr="007E6C0B">
        <w:rPr>
          <w:b w:val="0"/>
          <w:w w:val="105"/>
          <w:lang w:val="en-GB"/>
        </w:rPr>
        <w:t>Pascale and Athos, 1981)</w:t>
      </w:r>
      <w:r w:rsidRPr="007E6C0B">
        <w:rPr>
          <w:b w:val="0"/>
          <w:w w:val="105"/>
        </w:rPr>
        <w:t xml:space="preserve">. Maintenance culture is essential to improve maintenance </w:t>
      </w:r>
      <w:proofErr w:type="gramStart"/>
      <w:r w:rsidRPr="007E6C0B">
        <w:rPr>
          <w:b w:val="0"/>
          <w:w w:val="105"/>
        </w:rPr>
        <w:t>performance which</w:t>
      </w:r>
      <w:proofErr w:type="gramEnd"/>
      <w:r w:rsidRPr="007E6C0B">
        <w:rPr>
          <w:b w:val="0"/>
          <w:w w:val="105"/>
        </w:rPr>
        <w:t xml:space="preserve"> would directly lead to enhances facilities performance. It is an alternative in enhancing maintenance commitment and creating maintenance awareness among all parties involving in maintenance management (Sani et al., 2011). End user or people have various behavioral options in any given circumstances. Each of these options has a certain possibility of </w:t>
      </w:r>
      <w:proofErr w:type="gramStart"/>
      <w:r w:rsidRPr="007E6C0B">
        <w:rPr>
          <w:b w:val="0"/>
          <w:w w:val="105"/>
        </w:rPr>
        <w:t>being enacted</w:t>
      </w:r>
      <w:proofErr w:type="gramEnd"/>
      <w:r w:rsidRPr="007E6C0B">
        <w:rPr>
          <w:b w:val="0"/>
          <w:w w:val="105"/>
        </w:rPr>
        <w:t xml:space="preserve"> at any given time, reflecting current individual (motivation, habits, and resources) and contextual (cues and opportunities) factors. This possibility of enacting each behavioral response at any given time and in a given context has been termed a ‘behavioral potential’ (Rotter, 1960). These options </w:t>
      </w:r>
      <w:proofErr w:type="gramStart"/>
      <w:r w:rsidRPr="007E6C0B">
        <w:rPr>
          <w:b w:val="0"/>
          <w:w w:val="105"/>
        </w:rPr>
        <w:t>might be intentionally or impulsively driven</w:t>
      </w:r>
      <w:proofErr w:type="gramEnd"/>
      <w:r w:rsidRPr="007E6C0B">
        <w:rPr>
          <w:b w:val="0"/>
          <w:w w:val="105"/>
        </w:rPr>
        <w:t xml:space="preserve"> and may be predicated by prior behavior (</w:t>
      </w:r>
      <w:proofErr w:type="spellStart"/>
      <w:r w:rsidRPr="007E6C0B">
        <w:rPr>
          <w:b w:val="0"/>
          <w:w w:val="105"/>
        </w:rPr>
        <w:t>Kwasnicka</w:t>
      </w:r>
      <w:proofErr w:type="spellEnd"/>
      <w:r w:rsidRPr="007E6C0B">
        <w:rPr>
          <w:b w:val="0"/>
          <w:w w:val="105"/>
        </w:rPr>
        <w:t xml:space="preserve"> et al., 2016). Despite of abundant studies relating to culture especially in business and manufacturing, little effort </w:t>
      </w:r>
      <w:proofErr w:type="gramStart"/>
      <w:r w:rsidRPr="007E6C0B">
        <w:rPr>
          <w:b w:val="0"/>
          <w:w w:val="105"/>
        </w:rPr>
        <w:t>has been put</w:t>
      </w:r>
      <w:proofErr w:type="gramEnd"/>
      <w:r w:rsidRPr="007E6C0B">
        <w:rPr>
          <w:b w:val="0"/>
          <w:w w:val="105"/>
        </w:rPr>
        <w:t xml:space="preserve"> to study culture in construction industry especially in maintenance </w:t>
      </w:r>
      <w:bookmarkStart w:id="2" w:name="Mendeley_Bookmark_wRc1A6qwp3"/>
      <w:r w:rsidRPr="007E6C0B">
        <w:rPr>
          <w:b w:val="0"/>
          <w:w w:val="105"/>
        </w:rPr>
        <w:t>(Sani et al., 2011)</w:t>
      </w:r>
      <w:bookmarkEnd w:id="2"/>
      <w:r w:rsidRPr="007E6C0B">
        <w:rPr>
          <w:b w:val="0"/>
          <w:w w:val="105"/>
        </w:rPr>
        <w:t>.</w:t>
      </w:r>
    </w:p>
    <w:p w:rsidR="007E6C0B" w:rsidRPr="007E6C0B" w:rsidRDefault="007E6C0B" w:rsidP="007E6C0B">
      <w:pPr>
        <w:pStyle w:val="Heading1"/>
        <w:jc w:val="both"/>
        <w:rPr>
          <w:b w:val="0"/>
          <w:w w:val="105"/>
        </w:rPr>
      </w:pPr>
    </w:p>
    <w:p w:rsidR="007E6C0B" w:rsidRDefault="007E6C0B" w:rsidP="007E6C0B">
      <w:pPr>
        <w:pStyle w:val="Heading1"/>
        <w:jc w:val="both"/>
        <w:rPr>
          <w:b w:val="0"/>
          <w:w w:val="105"/>
        </w:rPr>
      </w:pPr>
      <w:r w:rsidRPr="007E6C0B">
        <w:rPr>
          <w:b w:val="0"/>
          <w:w w:val="105"/>
        </w:rPr>
        <w:t>HOW THE END USER BEHAVIOUR AFFECT PERFORMANCE</w:t>
      </w:r>
    </w:p>
    <w:p w:rsidR="007E6C0B" w:rsidRPr="007E6C0B" w:rsidRDefault="007E6C0B" w:rsidP="007E6C0B">
      <w:pPr>
        <w:pStyle w:val="Heading1"/>
        <w:jc w:val="both"/>
        <w:rPr>
          <w:b w:val="0"/>
          <w:w w:val="105"/>
        </w:rPr>
      </w:pPr>
    </w:p>
    <w:p w:rsidR="007E6C0B" w:rsidRPr="007E6C0B" w:rsidRDefault="007E6C0B" w:rsidP="007E6C0B">
      <w:pPr>
        <w:pStyle w:val="Heading1"/>
        <w:jc w:val="both"/>
        <w:rPr>
          <w:i/>
          <w:iCs/>
          <w:w w:val="105"/>
        </w:rPr>
      </w:pPr>
      <w:r w:rsidRPr="007E6C0B">
        <w:rPr>
          <w:i/>
          <w:iCs/>
          <w:w w:val="105"/>
        </w:rPr>
        <w:t>Prevention of vandalism</w:t>
      </w:r>
    </w:p>
    <w:p w:rsidR="007E6C0B" w:rsidRPr="007E6C0B" w:rsidRDefault="007E6C0B" w:rsidP="007E6C0B">
      <w:pPr>
        <w:pStyle w:val="Heading1"/>
        <w:jc w:val="both"/>
        <w:rPr>
          <w:b w:val="0"/>
          <w:w w:val="105"/>
          <w:lang w:val="en-GB"/>
        </w:rPr>
      </w:pPr>
      <w:r w:rsidRPr="007E6C0B">
        <w:rPr>
          <w:b w:val="0"/>
          <w:w w:val="105"/>
          <w:lang w:val="en-GB"/>
        </w:rPr>
        <w:t xml:space="preserve">Vandalism is a serious problem that </w:t>
      </w:r>
      <w:proofErr w:type="gramStart"/>
      <w:r w:rsidRPr="007E6C0B">
        <w:rPr>
          <w:b w:val="0"/>
          <w:w w:val="105"/>
          <w:lang w:val="en-GB"/>
        </w:rPr>
        <w:t>has been observed</w:t>
      </w:r>
      <w:proofErr w:type="gramEnd"/>
      <w:r w:rsidRPr="007E6C0B">
        <w:rPr>
          <w:b w:val="0"/>
          <w:w w:val="105"/>
          <w:lang w:val="en-GB"/>
        </w:rPr>
        <w:t xml:space="preserve"> in high-rises residential buildings. It </w:t>
      </w:r>
      <w:proofErr w:type="gramStart"/>
      <w:r w:rsidRPr="007E6C0B">
        <w:rPr>
          <w:b w:val="0"/>
          <w:w w:val="105"/>
          <w:lang w:val="en-GB"/>
        </w:rPr>
        <w:t>can be defined</w:t>
      </w:r>
      <w:proofErr w:type="gramEnd"/>
      <w:r w:rsidRPr="007E6C0B">
        <w:rPr>
          <w:b w:val="0"/>
          <w:w w:val="105"/>
          <w:lang w:val="en-GB"/>
        </w:rPr>
        <w:t xml:space="preserve"> as a ‘wilful act of physical damage that lowers the aesthetic or economic value of an object or area’ (Campbell et al., 1968). There are two types of vandalism</w:t>
      </w:r>
      <w:proofErr w:type="gramStart"/>
      <w:r w:rsidRPr="007E6C0B">
        <w:rPr>
          <w:b w:val="0"/>
          <w:w w:val="105"/>
          <w:lang w:val="en-GB"/>
        </w:rPr>
        <w:t>;</w:t>
      </w:r>
      <w:proofErr w:type="gramEnd"/>
      <w:r w:rsidRPr="007E6C0B">
        <w:rPr>
          <w:b w:val="0"/>
          <w:w w:val="105"/>
          <w:lang w:val="en-GB"/>
        </w:rPr>
        <w:t xml:space="preserve"> 1) third party vandalism and 2) vandalism by tenants or users (Ali et al., 2010). The effects of vandalism </w:t>
      </w:r>
      <w:proofErr w:type="gramStart"/>
      <w:r w:rsidRPr="007E6C0B">
        <w:rPr>
          <w:b w:val="0"/>
          <w:w w:val="105"/>
          <w:lang w:val="en-GB"/>
        </w:rPr>
        <w:t>are intended</w:t>
      </w:r>
      <w:proofErr w:type="gramEnd"/>
      <w:r w:rsidRPr="007E6C0B">
        <w:rPr>
          <w:b w:val="0"/>
          <w:w w:val="105"/>
          <w:lang w:val="en-GB"/>
        </w:rPr>
        <w:t xml:space="preserve"> because vandals know what they are doing and still do it. They are well aware of the relation between their actions and their consequences. </w:t>
      </w:r>
      <w:proofErr w:type="gramStart"/>
      <w:r w:rsidRPr="007E6C0B">
        <w:rPr>
          <w:b w:val="0"/>
          <w:w w:val="105"/>
          <w:lang w:val="en-GB"/>
        </w:rPr>
        <w:t>Also</w:t>
      </w:r>
      <w:proofErr w:type="gramEnd"/>
      <w:r w:rsidRPr="007E6C0B">
        <w:rPr>
          <w:b w:val="0"/>
          <w:w w:val="105"/>
          <w:lang w:val="en-GB"/>
        </w:rPr>
        <w:t xml:space="preserve">, they may be thought vandalism as a transactional process, an exchange that is consciously defined as inappropriate by society and appropriate by vandals </w:t>
      </w:r>
      <w:bookmarkStart w:id="3" w:name="Mendeley_Bookmark_PDI1f7o38Q"/>
      <w:r w:rsidRPr="007E6C0B">
        <w:rPr>
          <w:b w:val="0"/>
          <w:w w:val="105"/>
          <w:lang w:val="en-GB"/>
        </w:rPr>
        <w:t>(Christensen et al., 1992)</w:t>
      </w:r>
      <w:bookmarkEnd w:id="3"/>
      <w:r w:rsidRPr="007E6C0B">
        <w:rPr>
          <w:b w:val="0"/>
          <w:w w:val="105"/>
          <w:lang w:val="en-GB"/>
        </w:rPr>
        <w:t xml:space="preserve">. Examples of vandalism are graffiti, broken panes, and damage to external and internal doors. Even though buildings are gated and guarded, vandalisms </w:t>
      </w:r>
      <w:proofErr w:type="gramStart"/>
      <w:r w:rsidRPr="007E6C0B">
        <w:rPr>
          <w:b w:val="0"/>
          <w:w w:val="105"/>
          <w:lang w:val="en-GB"/>
        </w:rPr>
        <w:t>are still occurred</w:t>
      </w:r>
      <w:proofErr w:type="gramEnd"/>
      <w:r w:rsidRPr="007E6C0B">
        <w:rPr>
          <w:b w:val="0"/>
          <w:w w:val="105"/>
          <w:lang w:val="en-GB"/>
        </w:rPr>
        <w:t xml:space="preserve"> in residential area </w:t>
      </w:r>
      <w:bookmarkStart w:id="4" w:name="Mendeley_Bookmark_8fgmLW1Os2"/>
      <w:r w:rsidRPr="007E6C0B">
        <w:rPr>
          <w:b w:val="0"/>
          <w:w w:val="105"/>
          <w:lang w:val="en-GB"/>
        </w:rPr>
        <w:t>(</w:t>
      </w:r>
      <w:proofErr w:type="spellStart"/>
      <w:r w:rsidRPr="007E6C0B">
        <w:rPr>
          <w:b w:val="0"/>
          <w:w w:val="105"/>
          <w:lang w:val="en-GB"/>
        </w:rPr>
        <w:t>Olubodun</w:t>
      </w:r>
      <w:proofErr w:type="spellEnd"/>
      <w:r w:rsidRPr="007E6C0B">
        <w:rPr>
          <w:b w:val="0"/>
          <w:w w:val="105"/>
          <w:lang w:val="en-GB"/>
        </w:rPr>
        <w:t xml:space="preserve"> &amp; Mole, 1999)</w:t>
      </w:r>
      <w:bookmarkEnd w:id="4"/>
      <w:r w:rsidRPr="007E6C0B">
        <w:rPr>
          <w:b w:val="0"/>
          <w:w w:val="105"/>
          <w:lang w:val="en-GB"/>
        </w:rPr>
        <w:t xml:space="preserve">. Kuala Lumpur City Hall (KLCH) has spends RM2.5 million solely for repairing faulty lifts and about 95 per cent are caused by vandalism </w:t>
      </w:r>
      <w:bookmarkStart w:id="5" w:name="Mendeley_Bookmark_NtvVRTwJdJ"/>
      <w:r w:rsidRPr="007E6C0B">
        <w:rPr>
          <w:b w:val="0"/>
          <w:w w:val="105"/>
          <w:lang w:val="en-GB"/>
        </w:rPr>
        <w:t>(Ali et al., 2010)</w:t>
      </w:r>
      <w:bookmarkEnd w:id="5"/>
      <w:r w:rsidRPr="007E6C0B">
        <w:rPr>
          <w:b w:val="0"/>
          <w:w w:val="105"/>
          <w:lang w:val="en-GB"/>
        </w:rPr>
        <w:t xml:space="preserve">. The most commonly affected facilities in Malaysia as reported by DBKL are lifts, electrical and mechanical equipment </w:t>
      </w:r>
      <w:bookmarkStart w:id="6" w:name="Mendeley_Bookmark_XUR8WPFCEu"/>
      <w:r w:rsidRPr="007E6C0B">
        <w:rPr>
          <w:b w:val="0"/>
          <w:w w:val="105"/>
          <w:lang w:val="en-GB"/>
        </w:rPr>
        <w:t>(</w:t>
      </w:r>
      <w:proofErr w:type="spellStart"/>
      <w:r w:rsidRPr="007E6C0B">
        <w:rPr>
          <w:b w:val="0"/>
          <w:w w:val="105"/>
          <w:lang w:val="en-GB"/>
        </w:rPr>
        <w:t>Cagamas</w:t>
      </w:r>
      <w:proofErr w:type="spellEnd"/>
      <w:r w:rsidRPr="007E6C0B">
        <w:rPr>
          <w:b w:val="0"/>
          <w:w w:val="105"/>
          <w:lang w:val="en-GB"/>
        </w:rPr>
        <w:t xml:space="preserve"> Holdings, 2013)</w:t>
      </w:r>
      <w:bookmarkEnd w:id="6"/>
      <w:r w:rsidRPr="007E6C0B">
        <w:rPr>
          <w:b w:val="0"/>
          <w:w w:val="105"/>
          <w:lang w:val="en-GB"/>
        </w:rPr>
        <w:t xml:space="preserve">. Maintenance management should take action to reduce such problem like create awareness to the residents to protect the shared belongings in the community. Initiatives like installation of CCTV and give penalty to the defaulters </w:t>
      </w:r>
      <w:proofErr w:type="gramStart"/>
      <w:r w:rsidRPr="007E6C0B">
        <w:rPr>
          <w:b w:val="0"/>
          <w:w w:val="105"/>
          <w:lang w:val="en-GB"/>
        </w:rPr>
        <w:t>can be taken</w:t>
      </w:r>
      <w:proofErr w:type="gramEnd"/>
      <w:r w:rsidRPr="007E6C0B">
        <w:rPr>
          <w:b w:val="0"/>
          <w:w w:val="105"/>
          <w:lang w:val="en-GB"/>
        </w:rPr>
        <w:t xml:space="preserve"> by the management to reduce vandalism in residential area. </w:t>
      </w:r>
    </w:p>
    <w:p w:rsidR="007E6C0B" w:rsidRPr="007E6C0B" w:rsidRDefault="007E6C0B" w:rsidP="007E6C0B">
      <w:pPr>
        <w:pStyle w:val="Heading1"/>
        <w:jc w:val="both"/>
        <w:rPr>
          <w:b w:val="0"/>
          <w:w w:val="105"/>
          <w:lang w:val="en-GB"/>
        </w:rPr>
      </w:pPr>
    </w:p>
    <w:p w:rsidR="007E6C0B" w:rsidRPr="007E6C0B" w:rsidRDefault="007E6C0B" w:rsidP="007E6C0B">
      <w:pPr>
        <w:pStyle w:val="Heading1"/>
        <w:jc w:val="both"/>
        <w:rPr>
          <w:i/>
          <w:iCs/>
          <w:w w:val="105"/>
        </w:rPr>
      </w:pPr>
      <w:r w:rsidRPr="007E6C0B">
        <w:rPr>
          <w:i/>
          <w:iCs/>
          <w:w w:val="105"/>
        </w:rPr>
        <w:t>Regulation and compliance</w:t>
      </w:r>
    </w:p>
    <w:p w:rsidR="007E6C0B" w:rsidRPr="007E6C0B" w:rsidRDefault="007E6C0B" w:rsidP="007E6C0B">
      <w:pPr>
        <w:pStyle w:val="Heading1"/>
        <w:jc w:val="both"/>
        <w:rPr>
          <w:b w:val="0"/>
          <w:w w:val="105"/>
          <w:lang w:val="en-GB"/>
        </w:rPr>
      </w:pPr>
      <w:r w:rsidRPr="007E6C0B">
        <w:rPr>
          <w:b w:val="0"/>
          <w:w w:val="105"/>
          <w:lang w:val="en-GB"/>
        </w:rPr>
        <w:t>Every building in Malaysia should have guideline in maintenance to ensure the effectiveness of the work applied. The situation of maintenance industry in Malaysia is still poor where it is still lack of standard guideline and monitoring of maintenance.</w:t>
      </w:r>
      <w:bookmarkStart w:id="7" w:name="Mendeley_Bookmark_BM6SNWVhRF"/>
      <w:r w:rsidRPr="007E6C0B">
        <w:rPr>
          <w:b w:val="0"/>
          <w:w w:val="105"/>
          <w:lang w:val="en-GB"/>
        </w:rPr>
        <w:t xml:space="preserve"> Ali et al., (2010)</w:t>
      </w:r>
      <w:bookmarkEnd w:id="7"/>
      <w:r w:rsidRPr="007E6C0B">
        <w:rPr>
          <w:b w:val="0"/>
          <w:w w:val="105"/>
          <w:lang w:val="en-GB"/>
        </w:rPr>
        <w:t xml:space="preserve">, </w:t>
      </w:r>
      <w:bookmarkStart w:id="8" w:name="Mendeley_Bookmark_sF5dwgBTNn"/>
      <w:proofErr w:type="spellStart"/>
      <w:r w:rsidRPr="007E6C0B">
        <w:rPr>
          <w:b w:val="0"/>
          <w:w w:val="105"/>
          <w:lang w:val="en-GB"/>
        </w:rPr>
        <w:t>Zawawi</w:t>
      </w:r>
      <w:proofErr w:type="spellEnd"/>
      <w:r w:rsidRPr="007E6C0B">
        <w:rPr>
          <w:b w:val="0"/>
          <w:w w:val="105"/>
          <w:lang w:val="en-GB"/>
        </w:rPr>
        <w:t xml:space="preserve"> et al., (2010)</w:t>
      </w:r>
      <w:bookmarkEnd w:id="8"/>
      <w:r w:rsidRPr="007E6C0B">
        <w:rPr>
          <w:b w:val="0"/>
          <w:w w:val="105"/>
          <w:lang w:val="en-GB"/>
        </w:rPr>
        <w:t xml:space="preserve"> and </w:t>
      </w:r>
      <w:bookmarkStart w:id="9" w:name="Mendeley_Bookmark_qeaAzmppy3"/>
      <w:proofErr w:type="spellStart"/>
      <w:r w:rsidRPr="007E6C0B">
        <w:rPr>
          <w:b w:val="0"/>
          <w:w w:val="105"/>
          <w:lang w:val="en-GB"/>
        </w:rPr>
        <w:t>Myeda</w:t>
      </w:r>
      <w:proofErr w:type="spellEnd"/>
      <w:r w:rsidRPr="007E6C0B">
        <w:rPr>
          <w:b w:val="0"/>
          <w:w w:val="105"/>
          <w:lang w:val="en-GB"/>
        </w:rPr>
        <w:t xml:space="preserve"> et al., (2011)</w:t>
      </w:r>
      <w:bookmarkEnd w:id="9"/>
      <w:r w:rsidRPr="007E6C0B">
        <w:rPr>
          <w:b w:val="0"/>
          <w:w w:val="105"/>
          <w:lang w:val="en-GB"/>
        </w:rPr>
        <w:t xml:space="preserve"> have been agreed that Malaysia should come out with maintenance management guideline to standardise the practices in maintenance management. To increase the efficiency of strata management, Strata Management Act 2013 (Act 757) </w:t>
      </w:r>
      <w:proofErr w:type="gramStart"/>
      <w:r w:rsidRPr="007E6C0B">
        <w:rPr>
          <w:b w:val="0"/>
          <w:w w:val="105"/>
          <w:lang w:val="en-GB"/>
        </w:rPr>
        <w:t>was enacted</w:t>
      </w:r>
      <w:proofErr w:type="gramEnd"/>
      <w:r w:rsidRPr="007E6C0B">
        <w:rPr>
          <w:b w:val="0"/>
          <w:w w:val="105"/>
          <w:lang w:val="en-GB"/>
        </w:rPr>
        <w:t xml:space="preserve"> in February 2013 together with the amendments of the Strata Title Act (Act 318) during Tenth Malaysia Plan. The act will substitute the Building and Common Property (Maintenance and Management) Act, 2007 (Act 663). The aims of this act to clear all ambiguities, prevent abuses by the developer and major parcel owners, give more   power enforcement powers to the authorities and create a better living environment for all. One of the improvements of this act is the establishment of a tribunal where more efficient complaint mechanisms with Strata Management Tribunal Regulation 2015 </w:t>
      </w:r>
      <w:proofErr w:type="gramStart"/>
      <w:r w:rsidRPr="007E6C0B">
        <w:rPr>
          <w:b w:val="0"/>
          <w:w w:val="105"/>
          <w:lang w:val="en-GB"/>
        </w:rPr>
        <w:t>were introduced</w:t>
      </w:r>
      <w:proofErr w:type="gramEnd"/>
      <w:r w:rsidRPr="007E6C0B">
        <w:rPr>
          <w:b w:val="0"/>
          <w:w w:val="105"/>
          <w:lang w:val="en-GB"/>
        </w:rPr>
        <w:t xml:space="preserve">. Besides, maintenance fee and sinking fund collection methods also </w:t>
      </w:r>
      <w:proofErr w:type="gramStart"/>
      <w:r w:rsidRPr="007E6C0B">
        <w:rPr>
          <w:b w:val="0"/>
          <w:w w:val="105"/>
          <w:lang w:val="en-GB"/>
        </w:rPr>
        <w:t>have been improved</w:t>
      </w:r>
      <w:proofErr w:type="gramEnd"/>
      <w:r w:rsidRPr="007E6C0B">
        <w:rPr>
          <w:b w:val="0"/>
          <w:w w:val="105"/>
          <w:lang w:val="en-GB"/>
        </w:rPr>
        <w:t>. The Act gives the option to resolve the dispute to the developer, Joint Management Body (JMB) and Management Corporation (MC) for the order from the Strata Management Tribunal. Commissioner of Building (COB) is authorised to issue warrants for the arrest of movable residents who still have outstanding charges (</w:t>
      </w:r>
      <w:proofErr w:type="spellStart"/>
      <w:r w:rsidRPr="007E6C0B">
        <w:rPr>
          <w:b w:val="0"/>
          <w:w w:val="105"/>
          <w:lang w:val="en-GB"/>
        </w:rPr>
        <w:t>Fakhrudin</w:t>
      </w:r>
      <w:proofErr w:type="spellEnd"/>
      <w:r w:rsidRPr="007E6C0B">
        <w:rPr>
          <w:b w:val="0"/>
          <w:w w:val="105"/>
          <w:lang w:val="en-GB"/>
        </w:rPr>
        <w:t xml:space="preserve"> et al., 2011).</w:t>
      </w:r>
    </w:p>
    <w:p w:rsidR="007E6C0B" w:rsidRPr="007E6C0B" w:rsidRDefault="007E6C0B" w:rsidP="007E6C0B">
      <w:pPr>
        <w:pStyle w:val="Heading1"/>
        <w:jc w:val="both"/>
        <w:rPr>
          <w:b w:val="0"/>
          <w:i/>
          <w:iCs/>
          <w:w w:val="105"/>
        </w:rPr>
      </w:pPr>
    </w:p>
    <w:p w:rsidR="007E6C0B" w:rsidRPr="007E6C0B" w:rsidRDefault="007E6C0B" w:rsidP="007E6C0B">
      <w:pPr>
        <w:pStyle w:val="Heading1"/>
        <w:jc w:val="both"/>
        <w:rPr>
          <w:i/>
          <w:iCs/>
          <w:w w:val="105"/>
        </w:rPr>
      </w:pPr>
      <w:r w:rsidRPr="007E6C0B">
        <w:rPr>
          <w:i/>
          <w:iCs/>
          <w:w w:val="105"/>
        </w:rPr>
        <w:t>Use and accessibility to the property</w:t>
      </w:r>
    </w:p>
    <w:p w:rsidR="007E6C0B" w:rsidRPr="007E6C0B" w:rsidRDefault="007E6C0B" w:rsidP="007E6C0B">
      <w:pPr>
        <w:pStyle w:val="Heading1"/>
        <w:jc w:val="both"/>
        <w:rPr>
          <w:b w:val="0"/>
          <w:w w:val="105"/>
          <w:lang w:val="en-GB"/>
        </w:rPr>
      </w:pPr>
      <w:r w:rsidRPr="007E6C0B">
        <w:rPr>
          <w:b w:val="0"/>
          <w:w w:val="105"/>
          <w:lang w:val="en-GB"/>
        </w:rPr>
        <w:t xml:space="preserve">Reluctant of tenants in allowing maintenance staff to access their units, may make it harder to maintenance staff to check and repair the reported problems. Staff usually only get access from the external building and sometimes need additional equipment like scaffoldings to repair the defect </w:t>
      </w:r>
      <w:bookmarkStart w:id="10" w:name="Mendeley_Bookmark_WPZTmHC9L8"/>
      <w:r w:rsidRPr="007E6C0B">
        <w:rPr>
          <w:b w:val="0"/>
          <w:w w:val="105"/>
          <w:lang w:val="en-GB"/>
        </w:rPr>
        <w:t>(Ali et al., 2010)</w:t>
      </w:r>
      <w:bookmarkEnd w:id="10"/>
      <w:r w:rsidRPr="007E6C0B">
        <w:rPr>
          <w:b w:val="0"/>
          <w:w w:val="105"/>
          <w:lang w:val="en-GB"/>
        </w:rPr>
        <w:t xml:space="preserve">. The unsecured feeling of the tenants to let maintenance staff doing their job in their units may </w:t>
      </w:r>
      <w:r w:rsidRPr="007E6C0B">
        <w:rPr>
          <w:b w:val="0"/>
          <w:w w:val="105"/>
          <w:lang w:val="en-GB"/>
        </w:rPr>
        <w:lastRenderedPageBreak/>
        <w:t xml:space="preserve">actually delay the inspection and repairing process </w:t>
      </w:r>
      <w:bookmarkStart w:id="11" w:name="Mendeley_Bookmark_KzWkAYf0jH"/>
      <w:r w:rsidRPr="007E6C0B">
        <w:rPr>
          <w:b w:val="0"/>
          <w:w w:val="105"/>
          <w:lang w:val="en-GB"/>
        </w:rPr>
        <w:t>(</w:t>
      </w:r>
      <w:proofErr w:type="spellStart"/>
      <w:r w:rsidRPr="007E6C0B">
        <w:rPr>
          <w:b w:val="0"/>
          <w:w w:val="105"/>
          <w:lang w:val="en-GB"/>
        </w:rPr>
        <w:t>Hui</w:t>
      </w:r>
      <w:proofErr w:type="spellEnd"/>
      <w:r w:rsidRPr="007E6C0B">
        <w:rPr>
          <w:b w:val="0"/>
          <w:w w:val="105"/>
          <w:lang w:val="en-GB"/>
        </w:rPr>
        <w:t xml:space="preserve">, 2005; </w:t>
      </w:r>
      <w:proofErr w:type="spellStart"/>
      <w:r w:rsidRPr="007E6C0B">
        <w:rPr>
          <w:b w:val="0"/>
          <w:w w:val="105"/>
          <w:lang w:val="en-GB"/>
        </w:rPr>
        <w:t>Yau</w:t>
      </w:r>
      <w:proofErr w:type="spellEnd"/>
      <w:r w:rsidRPr="007E6C0B">
        <w:rPr>
          <w:b w:val="0"/>
          <w:w w:val="105"/>
          <w:lang w:val="en-GB"/>
        </w:rPr>
        <w:t>, 2011)</w:t>
      </w:r>
      <w:bookmarkEnd w:id="11"/>
      <w:r w:rsidRPr="007E6C0B">
        <w:rPr>
          <w:b w:val="0"/>
          <w:w w:val="105"/>
          <w:lang w:val="en-GB"/>
        </w:rPr>
        <w:t xml:space="preserve">. </w:t>
      </w:r>
      <w:bookmarkStart w:id="12" w:name="1jlao46"/>
      <w:bookmarkEnd w:id="12"/>
      <w:r w:rsidRPr="007E6C0B">
        <w:rPr>
          <w:b w:val="0"/>
          <w:w w:val="105"/>
          <w:lang w:val="en-GB"/>
        </w:rPr>
        <w:t xml:space="preserve">All building components and elements need regular inspection, cleaning and other maintenance work to maintain their performance. </w:t>
      </w:r>
    </w:p>
    <w:p w:rsidR="007E6C0B" w:rsidRPr="007E6C0B" w:rsidRDefault="007E6C0B" w:rsidP="007E6C0B">
      <w:pPr>
        <w:pStyle w:val="Heading1"/>
        <w:jc w:val="both"/>
        <w:rPr>
          <w:b w:val="0"/>
          <w:w w:val="105"/>
          <w:lang w:val="en-GB"/>
        </w:rPr>
      </w:pPr>
    </w:p>
    <w:p w:rsidR="007E6C0B" w:rsidRPr="007E6C0B" w:rsidRDefault="007E6C0B" w:rsidP="007E6C0B">
      <w:pPr>
        <w:pStyle w:val="Heading1"/>
        <w:jc w:val="both"/>
        <w:rPr>
          <w:i/>
          <w:iCs/>
          <w:w w:val="105"/>
        </w:rPr>
      </w:pPr>
      <w:r w:rsidRPr="007E6C0B">
        <w:rPr>
          <w:i/>
          <w:iCs/>
          <w:w w:val="105"/>
        </w:rPr>
        <w:t xml:space="preserve">Reporting </w:t>
      </w:r>
      <w:r>
        <w:rPr>
          <w:i/>
          <w:iCs/>
          <w:w w:val="105"/>
        </w:rPr>
        <w:t>a</w:t>
      </w:r>
      <w:r w:rsidRPr="007E6C0B">
        <w:rPr>
          <w:i/>
          <w:iCs/>
          <w:w w:val="105"/>
        </w:rPr>
        <w:t>nd Response Problems</w:t>
      </w:r>
    </w:p>
    <w:p w:rsidR="007E6C0B" w:rsidRPr="007E6C0B" w:rsidRDefault="007E6C0B" w:rsidP="007E6C0B">
      <w:pPr>
        <w:pStyle w:val="Heading1"/>
        <w:jc w:val="both"/>
        <w:rPr>
          <w:b w:val="0"/>
          <w:w w:val="105"/>
          <w:lang w:val="en-GB"/>
        </w:rPr>
      </w:pPr>
      <w:r w:rsidRPr="007E6C0B">
        <w:rPr>
          <w:b w:val="0"/>
          <w:w w:val="105"/>
          <w:lang w:val="en-GB"/>
        </w:rPr>
        <w:t xml:space="preserve">Reporting problem is one of the important actions in ensuring the effectiveness of maintenance management handle on complaints issue (Blessing, 2015). Tenants should report any problems as early as </w:t>
      </w:r>
      <w:proofErr w:type="gramStart"/>
      <w:r w:rsidRPr="007E6C0B">
        <w:rPr>
          <w:b w:val="0"/>
          <w:w w:val="105"/>
          <w:lang w:val="en-GB"/>
        </w:rPr>
        <w:t>possible and the managers should be response to the problems</w:t>
      </w:r>
      <w:proofErr w:type="gramEnd"/>
      <w:r w:rsidRPr="007E6C0B">
        <w:rPr>
          <w:b w:val="0"/>
          <w:w w:val="105"/>
          <w:lang w:val="en-GB"/>
        </w:rPr>
        <w:t xml:space="preserve"> and stay ahead to the problems will have less trouble keeping. The responsiveness of the management team involves taking prompt and accurate actions in response to residents’ reports or complaints. Responsiveness is also concerned with responding to residents’ queries, the keenness of the management staff to assist the residents, and the attentiveness of the management team to inform the residents when the repair work </w:t>
      </w:r>
      <w:proofErr w:type="gramStart"/>
      <w:r w:rsidRPr="007E6C0B">
        <w:rPr>
          <w:b w:val="0"/>
          <w:w w:val="105"/>
          <w:lang w:val="en-GB"/>
        </w:rPr>
        <w:t>will be carried</w:t>
      </w:r>
      <w:proofErr w:type="gramEnd"/>
      <w:r w:rsidRPr="007E6C0B">
        <w:rPr>
          <w:b w:val="0"/>
          <w:w w:val="105"/>
          <w:lang w:val="en-GB"/>
        </w:rPr>
        <w:t xml:space="preserve"> out </w:t>
      </w:r>
      <w:bookmarkStart w:id="13" w:name="Mendeley_Bookmark_c5tkc7wQMo"/>
      <w:r w:rsidRPr="007E6C0B">
        <w:rPr>
          <w:b w:val="0"/>
          <w:w w:val="105"/>
          <w:lang w:val="en-GB"/>
        </w:rPr>
        <w:t>(Hui, 2005)</w:t>
      </w:r>
      <w:bookmarkEnd w:id="13"/>
      <w:r w:rsidRPr="007E6C0B">
        <w:rPr>
          <w:b w:val="0"/>
          <w:w w:val="105"/>
          <w:lang w:val="en-GB"/>
        </w:rPr>
        <w:t>.</w:t>
      </w:r>
    </w:p>
    <w:p w:rsidR="007E6C0B" w:rsidRPr="007E6C0B" w:rsidRDefault="007E6C0B" w:rsidP="007E6C0B">
      <w:pPr>
        <w:pStyle w:val="Heading1"/>
        <w:jc w:val="both"/>
        <w:rPr>
          <w:b w:val="0"/>
          <w:w w:val="105"/>
          <w:lang w:val="en-GB"/>
        </w:rPr>
      </w:pPr>
    </w:p>
    <w:p w:rsidR="007E6C0B" w:rsidRPr="007E6C0B" w:rsidRDefault="007E6C0B" w:rsidP="007E6C0B">
      <w:pPr>
        <w:pStyle w:val="Heading1"/>
        <w:jc w:val="both"/>
        <w:rPr>
          <w:i/>
          <w:iCs/>
          <w:w w:val="105"/>
        </w:rPr>
      </w:pPr>
      <w:r w:rsidRPr="007E6C0B">
        <w:rPr>
          <w:i/>
          <w:iCs/>
          <w:w w:val="105"/>
        </w:rPr>
        <w:t>Demand and Expectation of End User</w:t>
      </w:r>
    </w:p>
    <w:p w:rsidR="007E6C0B" w:rsidRPr="007E6C0B" w:rsidRDefault="007E6C0B" w:rsidP="007E6C0B">
      <w:pPr>
        <w:pStyle w:val="Heading1"/>
        <w:jc w:val="both"/>
        <w:rPr>
          <w:b w:val="0"/>
          <w:w w:val="105"/>
          <w:lang w:val="en-GB"/>
        </w:rPr>
      </w:pPr>
      <w:r w:rsidRPr="007E6C0B">
        <w:rPr>
          <w:b w:val="0"/>
          <w:w w:val="105"/>
          <w:lang w:val="en-GB"/>
        </w:rPr>
        <w:t xml:space="preserve">Strata living related to shared facilities and any activities and attitudes of residents can have significant impact on the satisfaction and enjoyment of others </w:t>
      </w:r>
      <w:bookmarkStart w:id="14" w:name="Mendeley_Bookmark_GULZF2NfZP"/>
      <w:r w:rsidRPr="007E6C0B">
        <w:rPr>
          <w:b w:val="0"/>
          <w:w w:val="105"/>
          <w:lang w:val="en-GB"/>
        </w:rPr>
        <w:t>(</w:t>
      </w:r>
      <w:proofErr w:type="spellStart"/>
      <w:r w:rsidRPr="007E6C0B">
        <w:rPr>
          <w:b w:val="0"/>
          <w:w w:val="105"/>
          <w:lang w:val="en-GB"/>
        </w:rPr>
        <w:t>Fakhrudin</w:t>
      </w:r>
      <w:proofErr w:type="spellEnd"/>
      <w:r w:rsidRPr="007E6C0B">
        <w:rPr>
          <w:b w:val="0"/>
          <w:w w:val="105"/>
          <w:lang w:val="en-GB"/>
        </w:rPr>
        <w:t xml:space="preserve"> et al., 2011)</w:t>
      </w:r>
      <w:bookmarkEnd w:id="14"/>
      <w:r w:rsidRPr="007E6C0B">
        <w:rPr>
          <w:b w:val="0"/>
          <w:w w:val="105"/>
          <w:lang w:val="en-GB"/>
        </w:rPr>
        <w:t xml:space="preserve">. However, residents are expecting and demanding more from their building nowadays and becoming less tolerant </w:t>
      </w:r>
      <w:bookmarkStart w:id="15" w:name="Mendeley_Bookmark_UsZrz61SkV"/>
      <w:r w:rsidRPr="007E6C0B">
        <w:rPr>
          <w:b w:val="0"/>
          <w:w w:val="105"/>
          <w:lang w:val="en-GB"/>
        </w:rPr>
        <w:t>(Douglas, 1996)</w:t>
      </w:r>
      <w:bookmarkEnd w:id="15"/>
      <w:r w:rsidRPr="007E6C0B">
        <w:rPr>
          <w:b w:val="0"/>
          <w:w w:val="105"/>
          <w:lang w:val="en-GB"/>
        </w:rPr>
        <w:t xml:space="preserve">. Residents may have insufficient knowledge about maintenance or repair works, but they still need to be assured that their building is properly maintained and in good condition. The motivation to inquire for information arises from dissatisfaction about performance and if the residents are concerned on the housing’s performance, they are likely to be involved in maintaining the building </w:t>
      </w:r>
      <w:bookmarkStart w:id="16" w:name="Mendeley_Bookmark_zBpiANIODL"/>
      <w:r w:rsidRPr="007E6C0B">
        <w:rPr>
          <w:b w:val="0"/>
          <w:w w:val="105"/>
          <w:lang w:val="en-GB"/>
        </w:rPr>
        <w:t>(</w:t>
      </w:r>
      <w:proofErr w:type="spellStart"/>
      <w:r w:rsidRPr="007E6C0B">
        <w:rPr>
          <w:b w:val="0"/>
          <w:w w:val="105"/>
          <w:lang w:val="en-GB"/>
        </w:rPr>
        <w:t>Yau</w:t>
      </w:r>
      <w:proofErr w:type="spellEnd"/>
      <w:r w:rsidRPr="007E6C0B">
        <w:rPr>
          <w:b w:val="0"/>
          <w:w w:val="105"/>
          <w:lang w:val="en-GB"/>
        </w:rPr>
        <w:t>, 2011)</w:t>
      </w:r>
      <w:bookmarkEnd w:id="16"/>
      <w:r w:rsidRPr="007E6C0B">
        <w:rPr>
          <w:b w:val="0"/>
          <w:w w:val="105"/>
          <w:lang w:val="en-GB"/>
        </w:rPr>
        <w:t xml:space="preserve">. However, closeness among residents can help to reduce conflict and crucial to expedite the maintenance process. To develop an effective maintenance system, residents and management team should work together. It is essential to have two-way communications to ensure any needed maintenance work </w:t>
      </w:r>
      <w:proofErr w:type="gramStart"/>
      <w:r w:rsidRPr="007E6C0B">
        <w:rPr>
          <w:b w:val="0"/>
          <w:w w:val="105"/>
          <w:lang w:val="en-GB"/>
        </w:rPr>
        <w:t>can be done</w:t>
      </w:r>
      <w:proofErr w:type="gramEnd"/>
      <w:r w:rsidRPr="007E6C0B">
        <w:rPr>
          <w:b w:val="0"/>
          <w:w w:val="105"/>
          <w:lang w:val="en-GB"/>
        </w:rPr>
        <w:t xml:space="preserve"> quickly and satisfy the residents </w:t>
      </w:r>
      <w:bookmarkStart w:id="17" w:name="Mendeley_Bookmark_HtVHLQ5L0A"/>
      <w:r w:rsidRPr="007E6C0B">
        <w:rPr>
          <w:b w:val="0"/>
          <w:w w:val="105"/>
          <w:lang w:val="en-GB"/>
        </w:rPr>
        <w:t>(Yusof et al., 2014)</w:t>
      </w:r>
      <w:bookmarkEnd w:id="17"/>
      <w:r w:rsidRPr="007E6C0B">
        <w:rPr>
          <w:b w:val="0"/>
          <w:w w:val="105"/>
          <w:lang w:val="en-GB"/>
        </w:rPr>
        <w:t xml:space="preserve">. Residents usually make their judgements about residential conditions based on their needs and aspirations. Zero complaints indicate the satisfaction with the performance of services and facilities </w:t>
      </w:r>
      <w:bookmarkStart w:id="18" w:name="Mendeley_Bookmark_s6cv6APn15"/>
      <w:r w:rsidRPr="007E6C0B">
        <w:rPr>
          <w:b w:val="0"/>
          <w:w w:val="105"/>
          <w:lang w:val="en-GB"/>
        </w:rPr>
        <w:t>(Mohit et al., 2010)</w:t>
      </w:r>
      <w:bookmarkEnd w:id="18"/>
      <w:r w:rsidRPr="007E6C0B">
        <w:rPr>
          <w:b w:val="0"/>
          <w:w w:val="105"/>
          <w:lang w:val="en-GB"/>
        </w:rPr>
        <w:t>.</w:t>
      </w:r>
      <w:bookmarkStart w:id="19" w:name="43ky6rz"/>
      <w:bookmarkEnd w:id="19"/>
      <w:r w:rsidRPr="007E6C0B">
        <w:rPr>
          <w:b w:val="0"/>
          <w:w w:val="105"/>
          <w:lang w:val="en-GB"/>
        </w:rPr>
        <w:t xml:space="preserve"> Al-khatam (2003) defines the basic requirement for the user in a building is a stable shelter from the weather and suitable internal environment conditions that is non-other than housing.</w:t>
      </w:r>
      <w:bookmarkStart w:id="20" w:name="2iq8gzs"/>
      <w:bookmarkStart w:id="21" w:name="xvir7l"/>
      <w:bookmarkEnd w:id="20"/>
      <w:bookmarkEnd w:id="21"/>
    </w:p>
    <w:p w:rsidR="007E6C0B" w:rsidRPr="007E6C0B" w:rsidRDefault="007E6C0B" w:rsidP="007E6C0B">
      <w:pPr>
        <w:pStyle w:val="Heading1"/>
        <w:jc w:val="both"/>
        <w:rPr>
          <w:w w:val="105"/>
          <w:lang w:val="en-GB"/>
        </w:rPr>
      </w:pPr>
    </w:p>
    <w:p w:rsidR="007E6C0B" w:rsidRPr="007E6C0B" w:rsidRDefault="007E6C0B" w:rsidP="007E6C0B">
      <w:pPr>
        <w:pStyle w:val="Heading1"/>
        <w:jc w:val="both"/>
        <w:rPr>
          <w:i/>
          <w:iCs/>
          <w:w w:val="105"/>
        </w:rPr>
      </w:pPr>
      <w:r w:rsidRPr="007E6C0B">
        <w:rPr>
          <w:i/>
          <w:iCs/>
          <w:w w:val="105"/>
        </w:rPr>
        <w:t>User Satisfaction and</w:t>
      </w:r>
      <w:r>
        <w:rPr>
          <w:i/>
          <w:iCs/>
          <w:w w:val="105"/>
        </w:rPr>
        <w:t xml:space="preserve"> Performance o</w:t>
      </w:r>
      <w:r w:rsidRPr="007E6C0B">
        <w:rPr>
          <w:i/>
          <w:iCs/>
          <w:w w:val="105"/>
        </w:rPr>
        <w:t>f Service Maintenance</w:t>
      </w:r>
    </w:p>
    <w:p w:rsidR="007E6C0B" w:rsidRPr="007E6C0B" w:rsidRDefault="007E6C0B" w:rsidP="007E6C0B">
      <w:pPr>
        <w:pStyle w:val="Heading1"/>
        <w:jc w:val="both"/>
        <w:rPr>
          <w:b w:val="0"/>
          <w:w w:val="105"/>
          <w:lang w:val="en-GB"/>
        </w:rPr>
      </w:pPr>
      <w:r w:rsidRPr="007E6C0B">
        <w:rPr>
          <w:b w:val="0"/>
          <w:w w:val="105"/>
          <w:lang w:val="en-GB"/>
        </w:rPr>
        <w:t xml:space="preserve">Satisfaction is a subjective evaluation of the performance of products or services in meeting the needs and expectations of users or customers. It compares the benefits or value users or customers derive to that expected when a product or service is consumed (Karna, 2004). Succinctly, satisfaction is a measure of the difference between the actual and expected performance of products or services in meeting users’ needs and expectations from the </w:t>
      </w:r>
      <w:proofErr w:type="gramStart"/>
      <w:r w:rsidRPr="007E6C0B">
        <w:rPr>
          <w:b w:val="0"/>
          <w:w w:val="105"/>
          <w:lang w:val="en-GB"/>
        </w:rPr>
        <w:t>users’</w:t>
      </w:r>
      <w:proofErr w:type="gramEnd"/>
      <w:r w:rsidRPr="007E6C0B">
        <w:rPr>
          <w:b w:val="0"/>
          <w:w w:val="105"/>
          <w:lang w:val="en-GB"/>
        </w:rPr>
        <w:t xml:space="preserve"> or consumers’ perspective during or after a consumption experience </w:t>
      </w:r>
      <w:bookmarkStart w:id="22" w:name="Mendeley_Bookmark_qDtRAD6JH0"/>
      <w:r w:rsidRPr="007E6C0B">
        <w:rPr>
          <w:b w:val="0"/>
          <w:w w:val="105"/>
          <w:lang w:val="en-GB"/>
        </w:rPr>
        <w:t>(</w:t>
      </w:r>
      <w:proofErr w:type="spellStart"/>
      <w:r w:rsidRPr="007E6C0B">
        <w:rPr>
          <w:b w:val="0"/>
          <w:w w:val="105"/>
          <w:lang w:val="en-GB"/>
        </w:rPr>
        <w:t>Ibem</w:t>
      </w:r>
      <w:proofErr w:type="spellEnd"/>
      <w:r w:rsidRPr="007E6C0B">
        <w:rPr>
          <w:b w:val="0"/>
          <w:w w:val="105"/>
          <w:lang w:val="en-GB"/>
        </w:rPr>
        <w:t xml:space="preserve"> et al., 2013)</w:t>
      </w:r>
      <w:bookmarkEnd w:id="22"/>
      <w:r w:rsidRPr="007E6C0B">
        <w:rPr>
          <w:b w:val="0"/>
          <w:w w:val="105"/>
          <w:lang w:val="en-GB"/>
        </w:rPr>
        <w:t xml:space="preserve">. If residents are concerned on the housing performance, it means that they are likely to be involved in maintaining the building </w:t>
      </w:r>
      <w:bookmarkStart w:id="23" w:name="Mendeley_Bookmark_irkb8DCz0e"/>
      <w:r w:rsidRPr="007E6C0B">
        <w:rPr>
          <w:b w:val="0"/>
          <w:w w:val="105"/>
          <w:lang w:val="en-GB"/>
        </w:rPr>
        <w:t>(</w:t>
      </w:r>
      <w:proofErr w:type="spellStart"/>
      <w:r w:rsidRPr="007E6C0B">
        <w:rPr>
          <w:b w:val="0"/>
          <w:w w:val="105"/>
          <w:lang w:val="en-GB"/>
        </w:rPr>
        <w:t>Yau</w:t>
      </w:r>
      <w:proofErr w:type="spellEnd"/>
      <w:r w:rsidRPr="007E6C0B">
        <w:rPr>
          <w:b w:val="0"/>
          <w:w w:val="105"/>
          <w:lang w:val="en-GB"/>
        </w:rPr>
        <w:t xml:space="preserve">, 2011; </w:t>
      </w:r>
      <w:proofErr w:type="spellStart"/>
      <w:r w:rsidRPr="007E6C0B">
        <w:rPr>
          <w:b w:val="0"/>
          <w:w w:val="105"/>
          <w:lang w:val="en-GB"/>
        </w:rPr>
        <w:t>Yusof</w:t>
      </w:r>
      <w:proofErr w:type="spellEnd"/>
      <w:r w:rsidRPr="007E6C0B">
        <w:rPr>
          <w:b w:val="0"/>
          <w:w w:val="105"/>
          <w:lang w:val="en-GB"/>
        </w:rPr>
        <w:t xml:space="preserve"> et al., 2014)</w:t>
      </w:r>
      <w:bookmarkEnd w:id="23"/>
      <w:r w:rsidRPr="007E6C0B">
        <w:rPr>
          <w:b w:val="0"/>
          <w:w w:val="105"/>
          <w:lang w:val="en-GB"/>
        </w:rPr>
        <w:t xml:space="preserve">. Performance </w:t>
      </w:r>
      <w:proofErr w:type="gramStart"/>
      <w:r w:rsidRPr="007E6C0B">
        <w:rPr>
          <w:b w:val="0"/>
          <w:w w:val="105"/>
          <w:lang w:val="en-GB"/>
        </w:rPr>
        <w:t>can be defined</w:t>
      </w:r>
      <w:proofErr w:type="gramEnd"/>
      <w:r w:rsidRPr="007E6C0B">
        <w:rPr>
          <w:b w:val="0"/>
          <w:w w:val="105"/>
          <w:lang w:val="en-GB"/>
        </w:rPr>
        <w:t xml:space="preserve"> as the evaluation of how good organisations being manage and the value they deliver for customer and other stakeholders. Satisfying the end user can lead sustainable value creation</w:t>
      </w:r>
      <w:bookmarkStart w:id="24" w:name="Mendeley_Bookmark_qJWzNLoBwO"/>
      <w:r w:rsidRPr="007E6C0B">
        <w:rPr>
          <w:b w:val="0"/>
          <w:w w:val="105"/>
          <w:lang w:val="en-GB"/>
        </w:rPr>
        <w:t xml:space="preserve"> (Rani et al., 2015)</w:t>
      </w:r>
      <w:bookmarkEnd w:id="24"/>
      <w:r w:rsidRPr="007E6C0B">
        <w:rPr>
          <w:b w:val="0"/>
          <w:w w:val="105"/>
          <w:lang w:val="en-GB"/>
        </w:rPr>
        <w:t xml:space="preserve">. </w:t>
      </w:r>
    </w:p>
    <w:p w:rsidR="007E6C0B" w:rsidRPr="007E6C0B" w:rsidRDefault="007E6C0B" w:rsidP="00F56E79">
      <w:pPr>
        <w:pStyle w:val="Heading1"/>
        <w:jc w:val="both"/>
        <w:rPr>
          <w:b w:val="0"/>
          <w:w w:val="105"/>
        </w:rPr>
      </w:pPr>
    </w:p>
    <w:p w:rsidR="003711B6" w:rsidRDefault="00391579" w:rsidP="003711B6">
      <w:pPr>
        <w:pStyle w:val="Heading1"/>
        <w:jc w:val="both"/>
      </w:pPr>
      <w:r w:rsidRPr="00391579">
        <w:t>RESEARCH METHODOLOGY</w:t>
      </w:r>
    </w:p>
    <w:p w:rsidR="00C02EBD" w:rsidRDefault="00C02EBD" w:rsidP="003711B6">
      <w:pPr>
        <w:pStyle w:val="Heading1"/>
        <w:jc w:val="both"/>
      </w:pPr>
    </w:p>
    <w:p w:rsidR="00C02EBD" w:rsidRPr="00C02EBD" w:rsidRDefault="00C02EBD" w:rsidP="00C02EBD">
      <w:pPr>
        <w:pStyle w:val="Heading1"/>
        <w:jc w:val="both"/>
        <w:rPr>
          <w:iCs/>
        </w:rPr>
      </w:pPr>
      <w:r w:rsidRPr="00C02EBD">
        <w:rPr>
          <w:iCs/>
        </w:rPr>
        <w:t>Sample and data collection</w:t>
      </w:r>
    </w:p>
    <w:p w:rsidR="00C02EBD" w:rsidRPr="00C02EBD" w:rsidRDefault="00C02EBD" w:rsidP="00C02EBD">
      <w:pPr>
        <w:pStyle w:val="Heading1"/>
        <w:jc w:val="both"/>
        <w:rPr>
          <w:b w:val="0"/>
          <w:lang w:val="en-GB"/>
        </w:rPr>
      </w:pPr>
      <w:r w:rsidRPr="00C02EBD">
        <w:rPr>
          <w:b w:val="0"/>
          <w:lang w:val="en-GB"/>
        </w:rPr>
        <w:t xml:space="preserve">The research </w:t>
      </w:r>
      <w:proofErr w:type="gramStart"/>
      <w:r w:rsidRPr="00C02EBD">
        <w:rPr>
          <w:b w:val="0"/>
          <w:lang w:val="en-GB"/>
        </w:rPr>
        <w:t>was conducted</w:t>
      </w:r>
      <w:proofErr w:type="gramEnd"/>
      <w:r w:rsidRPr="00C02EBD">
        <w:rPr>
          <w:b w:val="0"/>
          <w:lang w:val="en-GB"/>
        </w:rPr>
        <w:t xml:space="preserve"> by distributing questionnaire survey to 194 residents in Bandar Sri </w:t>
      </w:r>
      <w:proofErr w:type="spellStart"/>
      <w:r w:rsidRPr="00C02EBD">
        <w:rPr>
          <w:b w:val="0"/>
          <w:lang w:val="en-GB"/>
        </w:rPr>
        <w:t>Permaisuri</w:t>
      </w:r>
      <w:proofErr w:type="spellEnd"/>
      <w:r w:rsidRPr="00C02EBD">
        <w:rPr>
          <w:b w:val="0"/>
          <w:lang w:val="en-GB"/>
        </w:rPr>
        <w:t xml:space="preserve"> area. The maintenance services that had to be included in the survey were determined </w:t>
      </w:r>
      <w:proofErr w:type="gramStart"/>
      <w:r w:rsidRPr="00C02EBD">
        <w:rPr>
          <w:b w:val="0"/>
          <w:lang w:val="en-GB"/>
        </w:rPr>
        <w:t>on the basis of</w:t>
      </w:r>
      <w:proofErr w:type="gramEnd"/>
      <w:r w:rsidRPr="00C02EBD">
        <w:rPr>
          <w:b w:val="0"/>
          <w:lang w:val="en-GB"/>
        </w:rPr>
        <w:t xml:space="preserve"> the literature. Only facilities and services that might have some impact on residential satisfaction were included. The facilities and services are fire control system, lift operation system, energy supply, plumbing system, water supply, sewerage system, landscaping, general cleaning, waste management, pest control, parking and security. The respondents of this survey were the residents from Lestari Apartment, Bandar Sri </w:t>
      </w:r>
      <w:proofErr w:type="spellStart"/>
      <w:r w:rsidRPr="00C02EBD">
        <w:rPr>
          <w:b w:val="0"/>
          <w:lang w:val="en-GB"/>
        </w:rPr>
        <w:t>Permaisuri</w:t>
      </w:r>
      <w:proofErr w:type="spellEnd"/>
      <w:r w:rsidRPr="00C02EBD">
        <w:rPr>
          <w:b w:val="0"/>
          <w:lang w:val="en-GB"/>
        </w:rPr>
        <w:t xml:space="preserve">. Of the </w:t>
      </w:r>
      <w:proofErr w:type="gramStart"/>
      <w:r w:rsidRPr="00C02EBD">
        <w:rPr>
          <w:b w:val="0"/>
          <w:lang w:val="en-GB"/>
        </w:rPr>
        <w:t>total of 194</w:t>
      </w:r>
      <w:proofErr w:type="gramEnd"/>
      <w:r w:rsidRPr="00C02EBD">
        <w:rPr>
          <w:b w:val="0"/>
          <w:lang w:val="en-GB"/>
        </w:rPr>
        <w:t xml:space="preserve"> questionnaires distributes, 52 usable questionnaires were retrieved for the final data analysis, representing a response rate of 26.8 per cent.</w:t>
      </w:r>
    </w:p>
    <w:p w:rsidR="00C02EBD" w:rsidRPr="00C02EBD" w:rsidRDefault="00C02EBD" w:rsidP="00C02EBD">
      <w:pPr>
        <w:pStyle w:val="Heading1"/>
        <w:jc w:val="both"/>
        <w:rPr>
          <w:lang w:val="en-GB"/>
        </w:rPr>
      </w:pPr>
    </w:p>
    <w:p w:rsidR="00C02EBD" w:rsidRPr="00C02EBD" w:rsidRDefault="00C02EBD" w:rsidP="00C02EBD">
      <w:pPr>
        <w:pStyle w:val="Heading1"/>
        <w:jc w:val="both"/>
        <w:rPr>
          <w:i/>
          <w:iCs/>
        </w:rPr>
      </w:pPr>
      <w:r w:rsidRPr="00C02EBD">
        <w:rPr>
          <w:i/>
          <w:iCs/>
        </w:rPr>
        <w:t>Measurement instrument and questionnaire design</w:t>
      </w:r>
    </w:p>
    <w:p w:rsidR="00C02EBD" w:rsidRPr="00C02EBD" w:rsidRDefault="00C02EBD" w:rsidP="00C02EBD">
      <w:pPr>
        <w:pStyle w:val="Heading1"/>
        <w:jc w:val="both"/>
        <w:rPr>
          <w:b w:val="0"/>
          <w:lang w:val="en-GB"/>
        </w:rPr>
      </w:pPr>
      <w:r w:rsidRPr="00C02EBD">
        <w:rPr>
          <w:b w:val="0"/>
          <w:lang w:val="en-GB"/>
        </w:rPr>
        <w:t xml:space="preserve">The performance of the facilities based on time were measured based on the residents’ satisfaction on waiting period to request repairs and waiting time of response for maintenance personnel. The performance of the facilities based on cost </w:t>
      </w:r>
      <w:proofErr w:type="gramStart"/>
      <w:r w:rsidRPr="00C02EBD">
        <w:rPr>
          <w:b w:val="0"/>
          <w:lang w:val="en-GB"/>
        </w:rPr>
        <w:t>were measured</w:t>
      </w:r>
      <w:proofErr w:type="gramEnd"/>
      <w:r w:rsidRPr="00C02EBD">
        <w:rPr>
          <w:b w:val="0"/>
          <w:lang w:val="en-GB"/>
        </w:rPr>
        <w:t xml:space="preserve"> based on the residents’ satisfaction towards worthiness paid maintenance fee to the facilities provided. The quality of the facilities </w:t>
      </w:r>
      <w:proofErr w:type="gramStart"/>
      <w:r w:rsidRPr="00C02EBD">
        <w:rPr>
          <w:b w:val="0"/>
          <w:lang w:val="en-GB"/>
        </w:rPr>
        <w:t>were measured</w:t>
      </w:r>
      <w:proofErr w:type="gramEnd"/>
      <w:r w:rsidRPr="00C02EBD">
        <w:rPr>
          <w:b w:val="0"/>
          <w:lang w:val="en-GB"/>
        </w:rPr>
        <w:t xml:space="preserve"> based on the frequency of failure of the facilities and residents’ satisfaction towards the professionalism and expertise of the staff. For the questionnaire, respondents’ levels of satisfaction with the various maintenance services were measured on five-point Likert-type scale, ranging from: “extremely dissatisfied”, through dissatisfied, slightly satisfied, </w:t>
      </w:r>
      <w:r w:rsidRPr="00C02EBD">
        <w:rPr>
          <w:b w:val="0"/>
          <w:lang w:val="en-GB"/>
        </w:rPr>
        <w:lastRenderedPageBreak/>
        <w:t>satisfied to extremely satisfied and also measure frequency of failure from very often, often, sometimes, rarely to never.</w:t>
      </w:r>
    </w:p>
    <w:p w:rsidR="00C02EBD" w:rsidRPr="00C02EBD" w:rsidRDefault="00C02EBD" w:rsidP="00C02EBD">
      <w:pPr>
        <w:pStyle w:val="Heading1"/>
        <w:jc w:val="both"/>
        <w:rPr>
          <w:i/>
          <w:lang w:val="en-GB"/>
        </w:rPr>
      </w:pPr>
    </w:p>
    <w:p w:rsidR="00C02EBD" w:rsidRPr="00C02EBD" w:rsidRDefault="00C02EBD" w:rsidP="00C02EBD">
      <w:pPr>
        <w:pStyle w:val="Heading1"/>
        <w:jc w:val="both"/>
        <w:rPr>
          <w:i/>
          <w:iCs/>
        </w:rPr>
      </w:pPr>
      <w:r w:rsidRPr="00C02EBD">
        <w:rPr>
          <w:i/>
          <w:iCs/>
        </w:rPr>
        <w:t>Respondent profile</w:t>
      </w:r>
    </w:p>
    <w:p w:rsidR="00C02EBD" w:rsidRPr="00C02EBD" w:rsidRDefault="00C02EBD" w:rsidP="00C02EBD">
      <w:pPr>
        <w:pStyle w:val="Heading1"/>
        <w:jc w:val="both"/>
        <w:rPr>
          <w:b w:val="0"/>
          <w:lang w:val="en-GB"/>
        </w:rPr>
      </w:pPr>
      <w:r w:rsidRPr="00C02EBD">
        <w:rPr>
          <w:b w:val="0"/>
        </w:rPr>
        <w:t xml:space="preserve">The whole questionnaire </w:t>
      </w:r>
      <w:proofErr w:type="gramStart"/>
      <w:r w:rsidRPr="00C02EBD">
        <w:rPr>
          <w:b w:val="0"/>
        </w:rPr>
        <w:t>is divided</w:t>
      </w:r>
      <w:proofErr w:type="gramEnd"/>
      <w:r w:rsidRPr="00C02EBD">
        <w:rPr>
          <w:b w:val="0"/>
        </w:rPr>
        <w:t xml:space="preserve"> into three parts. The first part is the background information of </w:t>
      </w:r>
      <w:proofErr w:type="gramStart"/>
      <w:r w:rsidRPr="00C02EBD">
        <w:rPr>
          <w:b w:val="0"/>
        </w:rPr>
        <w:t>respondents which</w:t>
      </w:r>
      <w:proofErr w:type="gramEnd"/>
      <w:r w:rsidRPr="00C02EBD">
        <w:rPr>
          <w:b w:val="0"/>
        </w:rPr>
        <w:t xml:space="preserve"> includes group of gender, age, and occupation. Table 1 illustrates the respondent profile. It indicates 59.6% of the respondents were female, 40.4% were age 31 to 40 years and 48.1% of the respondents worked in private sector. </w:t>
      </w:r>
      <w:r w:rsidRPr="00C02EBD">
        <w:rPr>
          <w:b w:val="0"/>
          <w:lang w:val="en-GB"/>
        </w:rPr>
        <w:t xml:space="preserve">The analysis </w:t>
      </w:r>
      <w:proofErr w:type="gramStart"/>
      <w:r w:rsidRPr="00C02EBD">
        <w:rPr>
          <w:b w:val="0"/>
          <w:lang w:val="en-GB"/>
        </w:rPr>
        <w:t>was done</w:t>
      </w:r>
      <w:proofErr w:type="gramEnd"/>
      <w:r w:rsidRPr="00C02EBD">
        <w:rPr>
          <w:b w:val="0"/>
          <w:lang w:val="en-GB"/>
        </w:rPr>
        <w:t xml:space="preserve"> using SPSS version 24. The second part of this questionnaire is about the importance of factors in evaluating the degree of performance of operation and maintenance services. This paper strictly limit on how the factors under residents characteristics evaluating the degree of performance of operation and maintenance services. The third part is the main concern of the study, measuring the performance of the facilities provided. For the questionnaire, respondents’ levels of satisfaction with the various maintenance services were measured on five-point scale, ranging from: “extremely dissatisfied”, through dissatisfied, slightly satisfied, satisfied to extremely satisfied and also measure frequency of failure from very often, often, sometimes, rarely to never.</w:t>
      </w:r>
    </w:p>
    <w:p w:rsidR="00C02EBD" w:rsidRPr="00C02EBD" w:rsidRDefault="00C02EBD" w:rsidP="00C02EBD">
      <w:pPr>
        <w:pStyle w:val="Heading1"/>
        <w:jc w:val="both"/>
      </w:pPr>
    </w:p>
    <w:p w:rsidR="00C02EBD" w:rsidRPr="00C02EBD" w:rsidRDefault="00C02EBD" w:rsidP="00C02EBD">
      <w:pPr>
        <w:pStyle w:val="Heading1"/>
        <w:jc w:val="center"/>
        <w:rPr>
          <w:b w:val="0"/>
          <w:lang w:val="en-GB"/>
        </w:rPr>
      </w:pPr>
      <w:r w:rsidRPr="00C02EBD">
        <w:rPr>
          <w:b w:val="0"/>
          <w:lang w:val="en-GB"/>
        </w:rPr>
        <w:t xml:space="preserve">Table </w:t>
      </w:r>
      <w:r w:rsidR="00B0755A" w:rsidRPr="00B0755A">
        <w:rPr>
          <w:b w:val="0"/>
          <w:lang w:val="en-GB"/>
        </w:rPr>
        <w:fldChar w:fldCharType="begin"/>
      </w:r>
      <w:r w:rsidRPr="00C02EBD">
        <w:rPr>
          <w:b w:val="0"/>
          <w:lang w:val="en-GB"/>
        </w:rPr>
        <w:instrText xml:space="preserve"> SEQ Table \* ARABIC </w:instrText>
      </w:r>
      <w:r w:rsidR="00B0755A" w:rsidRPr="00B0755A">
        <w:rPr>
          <w:b w:val="0"/>
          <w:lang w:val="en-GB"/>
        </w:rPr>
        <w:fldChar w:fldCharType="separate"/>
      </w:r>
      <w:r w:rsidRPr="00C02EBD">
        <w:rPr>
          <w:b w:val="0"/>
          <w:lang w:val="en-GB"/>
        </w:rPr>
        <w:t>1</w:t>
      </w:r>
      <w:r w:rsidR="00B0755A" w:rsidRPr="00C02EBD">
        <w:rPr>
          <w:b w:val="0"/>
        </w:rPr>
        <w:fldChar w:fldCharType="end"/>
      </w:r>
      <w:r w:rsidRPr="00C02EBD">
        <w:rPr>
          <w:b w:val="0"/>
          <w:lang w:val="en-GB"/>
        </w:rPr>
        <w:t xml:space="preserve"> Profile of the respondents</w:t>
      </w:r>
    </w:p>
    <w:p w:rsidR="00C02EBD" w:rsidRPr="00C02EBD" w:rsidRDefault="00C02EBD" w:rsidP="00C02EBD">
      <w:pPr>
        <w:pStyle w:val="Heading1"/>
        <w:jc w:val="both"/>
        <w:rPr>
          <w:lang w:val="en-GB"/>
        </w:rPr>
      </w:pPr>
    </w:p>
    <w:tbl>
      <w:tblPr>
        <w:tblW w:w="0" w:type="auto"/>
        <w:tblInd w:w="250" w:type="dxa"/>
        <w:tblBorders>
          <w:top w:val="single" w:sz="4" w:space="0" w:color="auto"/>
          <w:left w:val="single" w:sz="4" w:space="0" w:color="auto"/>
          <w:bottom w:val="single" w:sz="4" w:space="0" w:color="auto"/>
          <w:right w:val="single" w:sz="4" w:space="0" w:color="auto"/>
        </w:tblBorders>
        <w:tblLook w:val="04A0"/>
      </w:tblPr>
      <w:tblGrid>
        <w:gridCol w:w="1292"/>
        <w:gridCol w:w="1542"/>
        <w:gridCol w:w="1542"/>
        <w:gridCol w:w="1542"/>
        <w:gridCol w:w="1542"/>
        <w:gridCol w:w="1543"/>
      </w:tblGrid>
      <w:tr w:rsidR="00C02EBD" w:rsidRPr="00C02EBD" w:rsidTr="00C02EBD">
        <w:trPr>
          <w:trHeight w:val="45"/>
        </w:trPr>
        <w:tc>
          <w:tcPr>
            <w:tcW w:w="1292" w:type="dxa"/>
            <w:tcBorders>
              <w:top w:val="single" w:sz="4" w:space="0" w:color="auto"/>
              <w:bottom w:val="single" w:sz="4" w:space="0" w:color="auto"/>
            </w:tcBorders>
            <w:shd w:val="clear" w:color="auto" w:fill="auto"/>
          </w:tcPr>
          <w:p w:rsidR="00C02EBD" w:rsidRPr="00C02EBD" w:rsidRDefault="00C02EBD" w:rsidP="00C02EBD">
            <w:pPr>
              <w:pStyle w:val="Heading1"/>
              <w:jc w:val="both"/>
            </w:pPr>
            <w:r w:rsidRPr="00C02EBD">
              <w:t>Gender</w:t>
            </w:r>
          </w:p>
        </w:tc>
        <w:tc>
          <w:tcPr>
            <w:tcW w:w="1542" w:type="dxa"/>
            <w:tcBorders>
              <w:top w:val="single" w:sz="4" w:space="0" w:color="auto"/>
              <w:bottom w:val="single" w:sz="4" w:space="0" w:color="auto"/>
              <w:right w:val="single" w:sz="4" w:space="0" w:color="auto"/>
            </w:tcBorders>
            <w:shd w:val="clear" w:color="auto" w:fill="auto"/>
          </w:tcPr>
          <w:p w:rsidR="00C02EBD" w:rsidRPr="00C02EBD" w:rsidRDefault="00C02EBD" w:rsidP="00C02EBD">
            <w:pPr>
              <w:pStyle w:val="Heading1"/>
              <w:jc w:val="both"/>
            </w:pPr>
            <w:r w:rsidRPr="00C02EBD">
              <w:t>%</w:t>
            </w:r>
          </w:p>
        </w:tc>
        <w:tc>
          <w:tcPr>
            <w:tcW w:w="1542" w:type="dxa"/>
            <w:tcBorders>
              <w:top w:val="single" w:sz="4" w:space="0" w:color="auto"/>
              <w:left w:val="single" w:sz="4" w:space="0" w:color="auto"/>
              <w:bottom w:val="single" w:sz="4" w:space="0" w:color="auto"/>
            </w:tcBorders>
            <w:shd w:val="clear" w:color="auto" w:fill="auto"/>
          </w:tcPr>
          <w:p w:rsidR="00C02EBD" w:rsidRPr="00C02EBD" w:rsidRDefault="00C02EBD" w:rsidP="00C02EBD">
            <w:pPr>
              <w:pStyle w:val="Heading1"/>
              <w:jc w:val="both"/>
              <w:rPr>
                <w:lang w:val="en-GB"/>
              </w:rPr>
            </w:pPr>
            <w:r w:rsidRPr="00C02EBD">
              <w:rPr>
                <w:lang w:val="en-GB"/>
              </w:rPr>
              <w:t>Age</w:t>
            </w:r>
          </w:p>
        </w:tc>
        <w:tc>
          <w:tcPr>
            <w:tcW w:w="1542" w:type="dxa"/>
            <w:tcBorders>
              <w:top w:val="single" w:sz="4" w:space="0" w:color="auto"/>
              <w:bottom w:val="single" w:sz="4" w:space="0" w:color="auto"/>
              <w:right w:val="single" w:sz="4" w:space="0" w:color="auto"/>
            </w:tcBorders>
            <w:shd w:val="clear" w:color="auto" w:fill="auto"/>
          </w:tcPr>
          <w:p w:rsidR="00C02EBD" w:rsidRPr="00C02EBD" w:rsidRDefault="00C02EBD" w:rsidP="00C02EBD">
            <w:pPr>
              <w:pStyle w:val="Heading1"/>
              <w:jc w:val="both"/>
              <w:rPr>
                <w:lang w:val="en-GB"/>
              </w:rPr>
            </w:pPr>
            <w:r w:rsidRPr="00C02EBD">
              <w:rPr>
                <w:lang w:val="en-GB"/>
              </w:rPr>
              <w:t>%</w:t>
            </w:r>
          </w:p>
        </w:tc>
        <w:tc>
          <w:tcPr>
            <w:tcW w:w="1542" w:type="dxa"/>
            <w:tcBorders>
              <w:top w:val="single" w:sz="4" w:space="0" w:color="auto"/>
              <w:left w:val="single" w:sz="4" w:space="0" w:color="auto"/>
              <w:bottom w:val="single" w:sz="4" w:space="0" w:color="auto"/>
            </w:tcBorders>
            <w:shd w:val="clear" w:color="auto" w:fill="auto"/>
          </w:tcPr>
          <w:p w:rsidR="00C02EBD" w:rsidRPr="00C02EBD" w:rsidRDefault="00C02EBD" w:rsidP="00C02EBD">
            <w:pPr>
              <w:pStyle w:val="Heading1"/>
              <w:jc w:val="both"/>
              <w:rPr>
                <w:lang w:val="en-GB"/>
              </w:rPr>
            </w:pPr>
            <w:r w:rsidRPr="00C02EBD">
              <w:rPr>
                <w:lang w:val="en-GB"/>
              </w:rPr>
              <w:t>Occupation</w:t>
            </w:r>
          </w:p>
        </w:tc>
        <w:tc>
          <w:tcPr>
            <w:tcW w:w="1543" w:type="dxa"/>
            <w:tcBorders>
              <w:top w:val="single" w:sz="4" w:space="0" w:color="auto"/>
              <w:bottom w:val="single" w:sz="4" w:space="0" w:color="auto"/>
            </w:tcBorders>
            <w:shd w:val="clear" w:color="auto" w:fill="auto"/>
          </w:tcPr>
          <w:p w:rsidR="00C02EBD" w:rsidRPr="00C02EBD" w:rsidRDefault="00C02EBD" w:rsidP="00C02EBD">
            <w:pPr>
              <w:pStyle w:val="Heading1"/>
              <w:jc w:val="both"/>
              <w:rPr>
                <w:lang w:val="en-GB"/>
              </w:rPr>
            </w:pPr>
            <w:r w:rsidRPr="00C02EBD">
              <w:rPr>
                <w:lang w:val="en-GB"/>
              </w:rPr>
              <w:t>%</w:t>
            </w:r>
          </w:p>
        </w:tc>
      </w:tr>
      <w:tr w:rsidR="00C02EBD" w:rsidRPr="00C02EBD" w:rsidTr="00C02EBD">
        <w:trPr>
          <w:trHeight w:val="42"/>
        </w:trPr>
        <w:tc>
          <w:tcPr>
            <w:tcW w:w="1292" w:type="dxa"/>
            <w:tcBorders>
              <w:top w:val="single" w:sz="4" w:space="0" w:color="auto"/>
            </w:tcBorders>
            <w:shd w:val="clear" w:color="auto" w:fill="auto"/>
            <w:vAlign w:val="center"/>
          </w:tcPr>
          <w:p w:rsidR="00C02EBD" w:rsidRPr="00C02EBD" w:rsidRDefault="00C02EBD" w:rsidP="00C02EBD">
            <w:pPr>
              <w:pStyle w:val="Heading1"/>
              <w:jc w:val="both"/>
            </w:pPr>
            <w:r w:rsidRPr="00C02EBD">
              <w:t>Male</w:t>
            </w:r>
          </w:p>
        </w:tc>
        <w:tc>
          <w:tcPr>
            <w:tcW w:w="1542" w:type="dxa"/>
            <w:tcBorders>
              <w:top w:val="single" w:sz="4" w:space="0" w:color="auto"/>
              <w:right w:val="single" w:sz="4" w:space="0" w:color="auto"/>
            </w:tcBorders>
            <w:shd w:val="clear" w:color="auto" w:fill="auto"/>
            <w:vAlign w:val="center"/>
          </w:tcPr>
          <w:p w:rsidR="00C02EBD" w:rsidRPr="00C02EBD" w:rsidRDefault="00C02EBD" w:rsidP="00C02EBD">
            <w:pPr>
              <w:pStyle w:val="Heading1"/>
              <w:jc w:val="both"/>
            </w:pPr>
            <w:r w:rsidRPr="00C02EBD">
              <w:t>40.4</w:t>
            </w:r>
          </w:p>
        </w:tc>
        <w:tc>
          <w:tcPr>
            <w:tcW w:w="1542" w:type="dxa"/>
            <w:tcBorders>
              <w:top w:val="single" w:sz="4" w:space="0" w:color="auto"/>
              <w:left w:val="single" w:sz="4" w:space="0" w:color="auto"/>
            </w:tcBorders>
            <w:shd w:val="clear" w:color="auto" w:fill="auto"/>
            <w:vAlign w:val="center"/>
          </w:tcPr>
          <w:p w:rsidR="00C02EBD" w:rsidRPr="00C02EBD" w:rsidRDefault="00C02EBD" w:rsidP="00C02EBD">
            <w:pPr>
              <w:pStyle w:val="Heading1"/>
              <w:jc w:val="both"/>
            </w:pPr>
            <w:r w:rsidRPr="00C02EBD">
              <w:t>≤ 20</w:t>
            </w:r>
          </w:p>
        </w:tc>
        <w:tc>
          <w:tcPr>
            <w:tcW w:w="1542" w:type="dxa"/>
            <w:tcBorders>
              <w:top w:val="single" w:sz="4" w:space="0" w:color="auto"/>
              <w:right w:val="single" w:sz="4" w:space="0" w:color="auto"/>
            </w:tcBorders>
            <w:shd w:val="clear" w:color="auto" w:fill="auto"/>
            <w:vAlign w:val="center"/>
          </w:tcPr>
          <w:p w:rsidR="00C02EBD" w:rsidRPr="00C02EBD" w:rsidRDefault="00C02EBD" w:rsidP="00C02EBD">
            <w:pPr>
              <w:pStyle w:val="Heading1"/>
              <w:jc w:val="both"/>
            </w:pPr>
            <w:r w:rsidRPr="00C02EBD">
              <w:t>3.9</w:t>
            </w:r>
          </w:p>
        </w:tc>
        <w:tc>
          <w:tcPr>
            <w:tcW w:w="1542" w:type="dxa"/>
            <w:tcBorders>
              <w:top w:val="single" w:sz="4" w:space="0" w:color="auto"/>
              <w:left w:val="single" w:sz="4" w:space="0" w:color="auto"/>
            </w:tcBorders>
            <w:shd w:val="clear" w:color="auto" w:fill="auto"/>
            <w:vAlign w:val="center"/>
          </w:tcPr>
          <w:p w:rsidR="00C02EBD" w:rsidRPr="00C02EBD" w:rsidRDefault="00C02EBD" w:rsidP="00C02EBD">
            <w:pPr>
              <w:pStyle w:val="Heading1"/>
              <w:jc w:val="both"/>
            </w:pPr>
            <w:r w:rsidRPr="00C02EBD">
              <w:t>Private</w:t>
            </w:r>
          </w:p>
        </w:tc>
        <w:tc>
          <w:tcPr>
            <w:tcW w:w="1543" w:type="dxa"/>
            <w:tcBorders>
              <w:top w:val="single" w:sz="4" w:space="0" w:color="auto"/>
            </w:tcBorders>
            <w:shd w:val="clear" w:color="auto" w:fill="auto"/>
            <w:vAlign w:val="center"/>
          </w:tcPr>
          <w:p w:rsidR="00C02EBD" w:rsidRPr="00C02EBD" w:rsidRDefault="00C02EBD" w:rsidP="00C02EBD">
            <w:pPr>
              <w:pStyle w:val="Heading1"/>
              <w:jc w:val="both"/>
            </w:pPr>
            <w:r w:rsidRPr="00C02EBD">
              <w:t>48.1</w:t>
            </w:r>
          </w:p>
        </w:tc>
      </w:tr>
      <w:tr w:rsidR="00C02EBD" w:rsidRPr="00C02EBD" w:rsidTr="00C02EBD">
        <w:trPr>
          <w:trHeight w:val="42"/>
        </w:trPr>
        <w:tc>
          <w:tcPr>
            <w:tcW w:w="1292" w:type="dxa"/>
            <w:shd w:val="clear" w:color="auto" w:fill="auto"/>
            <w:vAlign w:val="center"/>
          </w:tcPr>
          <w:p w:rsidR="00C02EBD" w:rsidRPr="00C02EBD" w:rsidRDefault="00C02EBD" w:rsidP="00C02EBD">
            <w:pPr>
              <w:pStyle w:val="Heading1"/>
              <w:jc w:val="both"/>
            </w:pPr>
            <w:r w:rsidRPr="00C02EBD">
              <w:t>Female</w:t>
            </w:r>
          </w:p>
        </w:tc>
        <w:tc>
          <w:tcPr>
            <w:tcW w:w="1542" w:type="dxa"/>
            <w:tcBorders>
              <w:right w:val="single" w:sz="4" w:space="0" w:color="auto"/>
            </w:tcBorders>
            <w:shd w:val="clear" w:color="auto" w:fill="auto"/>
            <w:vAlign w:val="center"/>
          </w:tcPr>
          <w:p w:rsidR="00C02EBD" w:rsidRPr="00C02EBD" w:rsidRDefault="00C02EBD" w:rsidP="00C02EBD">
            <w:pPr>
              <w:pStyle w:val="Heading1"/>
              <w:jc w:val="both"/>
            </w:pPr>
            <w:r w:rsidRPr="00C02EBD">
              <w:t>59.6</w:t>
            </w: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21-30</w:t>
            </w:r>
          </w:p>
        </w:tc>
        <w:tc>
          <w:tcPr>
            <w:tcW w:w="1542" w:type="dxa"/>
            <w:tcBorders>
              <w:right w:val="single" w:sz="4" w:space="0" w:color="auto"/>
            </w:tcBorders>
            <w:shd w:val="clear" w:color="auto" w:fill="auto"/>
            <w:vAlign w:val="center"/>
          </w:tcPr>
          <w:p w:rsidR="00C02EBD" w:rsidRPr="00C02EBD" w:rsidRDefault="00C02EBD" w:rsidP="00C02EBD">
            <w:pPr>
              <w:pStyle w:val="Heading1"/>
              <w:jc w:val="both"/>
            </w:pPr>
            <w:r w:rsidRPr="00C02EBD">
              <w:t>32.7</w:t>
            </w: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Government</w:t>
            </w:r>
          </w:p>
        </w:tc>
        <w:tc>
          <w:tcPr>
            <w:tcW w:w="1543" w:type="dxa"/>
            <w:shd w:val="clear" w:color="auto" w:fill="auto"/>
            <w:vAlign w:val="center"/>
          </w:tcPr>
          <w:p w:rsidR="00C02EBD" w:rsidRPr="00C02EBD" w:rsidRDefault="00C02EBD" w:rsidP="00C02EBD">
            <w:pPr>
              <w:pStyle w:val="Heading1"/>
              <w:jc w:val="both"/>
            </w:pPr>
            <w:r w:rsidRPr="00C02EBD">
              <w:t>25.0</w:t>
            </w:r>
          </w:p>
        </w:tc>
      </w:tr>
      <w:tr w:rsidR="00C02EBD" w:rsidRPr="00C02EBD" w:rsidTr="00C02EBD">
        <w:trPr>
          <w:trHeight w:val="42"/>
        </w:trPr>
        <w:tc>
          <w:tcPr>
            <w:tcW w:w="1292" w:type="dxa"/>
            <w:shd w:val="clear" w:color="auto" w:fill="auto"/>
            <w:vAlign w:val="center"/>
          </w:tcPr>
          <w:p w:rsidR="00C02EBD" w:rsidRPr="00C02EBD" w:rsidRDefault="00C02EBD" w:rsidP="00C02EBD">
            <w:pPr>
              <w:pStyle w:val="Heading1"/>
              <w:jc w:val="both"/>
              <w:rPr>
                <w:i/>
              </w:rPr>
            </w:pPr>
            <w:r w:rsidRPr="00C02EBD">
              <w:rPr>
                <w:i/>
              </w:rPr>
              <w:t>Total</w:t>
            </w:r>
          </w:p>
        </w:tc>
        <w:tc>
          <w:tcPr>
            <w:tcW w:w="1542" w:type="dxa"/>
            <w:tcBorders>
              <w:right w:val="single" w:sz="4" w:space="0" w:color="auto"/>
            </w:tcBorders>
            <w:shd w:val="clear" w:color="auto" w:fill="auto"/>
            <w:vAlign w:val="center"/>
          </w:tcPr>
          <w:p w:rsidR="00C02EBD" w:rsidRPr="00C02EBD" w:rsidRDefault="00C02EBD" w:rsidP="00C02EBD">
            <w:pPr>
              <w:pStyle w:val="Heading1"/>
              <w:jc w:val="both"/>
              <w:rPr>
                <w:i/>
              </w:rPr>
            </w:pPr>
            <w:r w:rsidRPr="00C02EBD">
              <w:rPr>
                <w:i/>
              </w:rPr>
              <w:t>100.0</w:t>
            </w: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31-40</w:t>
            </w:r>
          </w:p>
        </w:tc>
        <w:tc>
          <w:tcPr>
            <w:tcW w:w="1542" w:type="dxa"/>
            <w:tcBorders>
              <w:right w:val="single" w:sz="4" w:space="0" w:color="auto"/>
            </w:tcBorders>
            <w:shd w:val="clear" w:color="auto" w:fill="auto"/>
            <w:vAlign w:val="center"/>
          </w:tcPr>
          <w:p w:rsidR="00C02EBD" w:rsidRPr="00C02EBD" w:rsidRDefault="00C02EBD" w:rsidP="00C02EBD">
            <w:pPr>
              <w:pStyle w:val="Heading1"/>
              <w:jc w:val="both"/>
            </w:pPr>
            <w:r w:rsidRPr="00C02EBD">
              <w:t>40.4</w:t>
            </w: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Self Employed</w:t>
            </w:r>
          </w:p>
        </w:tc>
        <w:tc>
          <w:tcPr>
            <w:tcW w:w="1543" w:type="dxa"/>
            <w:shd w:val="clear" w:color="auto" w:fill="auto"/>
            <w:vAlign w:val="center"/>
          </w:tcPr>
          <w:p w:rsidR="00C02EBD" w:rsidRPr="00C02EBD" w:rsidRDefault="00C02EBD" w:rsidP="00C02EBD">
            <w:pPr>
              <w:pStyle w:val="Heading1"/>
              <w:jc w:val="both"/>
            </w:pPr>
            <w:r w:rsidRPr="00C02EBD">
              <w:t>23.1</w:t>
            </w:r>
          </w:p>
        </w:tc>
      </w:tr>
      <w:tr w:rsidR="00C02EBD" w:rsidRPr="00C02EBD" w:rsidTr="00C02EBD">
        <w:trPr>
          <w:trHeight w:val="42"/>
        </w:trPr>
        <w:tc>
          <w:tcPr>
            <w:tcW w:w="1292" w:type="dxa"/>
            <w:shd w:val="clear" w:color="auto" w:fill="auto"/>
          </w:tcPr>
          <w:p w:rsidR="00C02EBD" w:rsidRPr="00C02EBD" w:rsidRDefault="00C02EBD" w:rsidP="00C02EBD">
            <w:pPr>
              <w:pStyle w:val="Heading1"/>
              <w:jc w:val="both"/>
              <w:rPr>
                <w:lang w:val="en-GB"/>
              </w:rPr>
            </w:pPr>
          </w:p>
        </w:tc>
        <w:tc>
          <w:tcPr>
            <w:tcW w:w="1542" w:type="dxa"/>
            <w:tcBorders>
              <w:right w:val="single" w:sz="4" w:space="0" w:color="auto"/>
            </w:tcBorders>
            <w:shd w:val="clear" w:color="auto" w:fill="auto"/>
          </w:tcPr>
          <w:p w:rsidR="00C02EBD" w:rsidRPr="00C02EBD" w:rsidRDefault="00C02EBD" w:rsidP="00C02EBD">
            <w:pPr>
              <w:pStyle w:val="Heading1"/>
              <w:jc w:val="both"/>
              <w:rPr>
                <w:lang w:val="en-GB"/>
              </w:rPr>
            </w:pP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41-50</w:t>
            </w:r>
          </w:p>
        </w:tc>
        <w:tc>
          <w:tcPr>
            <w:tcW w:w="1542" w:type="dxa"/>
            <w:tcBorders>
              <w:right w:val="single" w:sz="4" w:space="0" w:color="auto"/>
            </w:tcBorders>
            <w:shd w:val="clear" w:color="auto" w:fill="auto"/>
            <w:vAlign w:val="center"/>
          </w:tcPr>
          <w:p w:rsidR="00C02EBD" w:rsidRPr="00C02EBD" w:rsidRDefault="00C02EBD" w:rsidP="00C02EBD">
            <w:pPr>
              <w:pStyle w:val="Heading1"/>
              <w:jc w:val="both"/>
            </w:pPr>
            <w:r w:rsidRPr="00C02EBD">
              <w:t>13.5</w:t>
            </w: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Unemployed</w:t>
            </w:r>
          </w:p>
        </w:tc>
        <w:tc>
          <w:tcPr>
            <w:tcW w:w="1543" w:type="dxa"/>
            <w:shd w:val="clear" w:color="auto" w:fill="auto"/>
            <w:vAlign w:val="center"/>
          </w:tcPr>
          <w:p w:rsidR="00C02EBD" w:rsidRPr="00C02EBD" w:rsidRDefault="00C02EBD" w:rsidP="00C02EBD">
            <w:pPr>
              <w:pStyle w:val="Heading1"/>
              <w:jc w:val="both"/>
            </w:pPr>
            <w:r w:rsidRPr="00C02EBD">
              <w:t>3.9</w:t>
            </w:r>
          </w:p>
        </w:tc>
      </w:tr>
      <w:tr w:rsidR="00C02EBD" w:rsidRPr="00C02EBD" w:rsidTr="00C02EBD">
        <w:trPr>
          <w:trHeight w:val="42"/>
        </w:trPr>
        <w:tc>
          <w:tcPr>
            <w:tcW w:w="1292" w:type="dxa"/>
            <w:shd w:val="clear" w:color="auto" w:fill="auto"/>
          </w:tcPr>
          <w:p w:rsidR="00C02EBD" w:rsidRPr="00C02EBD" w:rsidRDefault="00C02EBD" w:rsidP="00C02EBD">
            <w:pPr>
              <w:pStyle w:val="Heading1"/>
              <w:jc w:val="both"/>
              <w:rPr>
                <w:lang w:val="en-GB"/>
              </w:rPr>
            </w:pPr>
          </w:p>
        </w:tc>
        <w:tc>
          <w:tcPr>
            <w:tcW w:w="1542" w:type="dxa"/>
            <w:tcBorders>
              <w:right w:val="single" w:sz="4" w:space="0" w:color="auto"/>
            </w:tcBorders>
            <w:shd w:val="clear" w:color="auto" w:fill="auto"/>
          </w:tcPr>
          <w:p w:rsidR="00C02EBD" w:rsidRPr="00C02EBD" w:rsidRDefault="00C02EBD" w:rsidP="00C02EBD">
            <w:pPr>
              <w:pStyle w:val="Heading1"/>
              <w:jc w:val="both"/>
              <w:rPr>
                <w:lang w:val="en-GB"/>
              </w:rPr>
            </w:pPr>
          </w:p>
        </w:tc>
        <w:tc>
          <w:tcPr>
            <w:tcW w:w="1542" w:type="dxa"/>
            <w:tcBorders>
              <w:left w:val="single" w:sz="4" w:space="0" w:color="auto"/>
            </w:tcBorders>
            <w:shd w:val="clear" w:color="auto" w:fill="auto"/>
            <w:vAlign w:val="center"/>
          </w:tcPr>
          <w:p w:rsidR="00C02EBD" w:rsidRPr="00C02EBD" w:rsidRDefault="00C02EBD" w:rsidP="00C02EBD">
            <w:pPr>
              <w:pStyle w:val="Heading1"/>
              <w:jc w:val="both"/>
            </w:pPr>
            <w:r w:rsidRPr="00C02EBD">
              <w:t>51-60</w:t>
            </w:r>
          </w:p>
        </w:tc>
        <w:tc>
          <w:tcPr>
            <w:tcW w:w="1542" w:type="dxa"/>
            <w:tcBorders>
              <w:right w:val="single" w:sz="4" w:space="0" w:color="auto"/>
            </w:tcBorders>
            <w:shd w:val="clear" w:color="auto" w:fill="auto"/>
            <w:vAlign w:val="center"/>
          </w:tcPr>
          <w:p w:rsidR="00C02EBD" w:rsidRPr="00C02EBD" w:rsidRDefault="00C02EBD" w:rsidP="00C02EBD">
            <w:pPr>
              <w:pStyle w:val="Heading1"/>
              <w:jc w:val="both"/>
            </w:pPr>
            <w:r w:rsidRPr="00C02EBD">
              <w:t>9.6</w:t>
            </w:r>
          </w:p>
        </w:tc>
        <w:tc>
          <w:tcPr>
            <w:tcW w:w="1542" w:type="dxa"/>
            <w:tcBorders>
              <w:left w:val="single" w:sz="4" w:space="0" w:color="auto"/>
            </w:tcBorders>
            <w:shd w:val="clear" w:color="auto" w:fill="auto"/>
            <w:vAlign w:val="center"/>
          </w:tcPr>
          <w:p w:rsidR="00C02EBD" w:rsidRPr="00C02EBD" w:rsidRDefault="00C02EBD" w:rsidP="00C02EBD">
            <w:pPr>
              <w:pStyle w:val="Heading1"/>
              <w:jc w:val="both"/>
              <w:rPr>
                <w:i/>
              </w:rPr>
            </w:pPr>
            <w:r w:rsidRPr="00C02EBD">
              <w:rPr>
                <w:i/>
              </w:rPr>
              <w:t>Total</w:t>
            </w:r>
          </w:p>
        </w:tc>
        <w:tc>
          <w:tcPr>
            <w:tcW w:w="1543" w:type="dxa"/>
            <w:shd w:val="clear" w:color="auto" w:fill="auto"/>
            <w:vAlign w:val="center"/>
          </w:tcPr>
          <w:p w:rsidR="00C02EBD" w:rsidRPr="00C02EBD" w:rsidRDefault="00C02EBD" w:rsidP="00C02EBD">
            <w:pPr>
              <w:pStyle w:val="Heading1"/>
              <w:jc w:val="both"/>
              <w:rPr>
                <w:i/>
              </w:rPr>
            </w:pPr>
            <w:r w:rsidRPr="00C02EBD">
              <w:rPr>
                <w:i/>
              </w:rPr>
              <w:t>100.0</w:t>
            </w:r>
          </w:p>
        </w:tc>
      </w:tr>
      <w:tr w:rsidR="00C02EBD" w:rsidRPr="00C02EBD" w:rsidTr="00C02EBD">
        <w:trPr>
          <w:trHeight w:val="42"/>
        </w:trPr>
        <w:tc>
          <w:tcPr>
            <w:tcW w:w="1292" w:type="dxa"/>
            <w:tcBorders>
              <w:bottom w:val="single" w:sz="4" w:space="0" w:color="auto"/>
            </w:tcBorders>
            <w:shd w:val="clear" w:color="auto" w:fill="auto"/>
          </w:tcPr>
          <w:p w:rsidR="00C02EBD" w:rsidRPr="00C02EBD" w:rsidRDefault="00C02EBD" w:rsidP="00C02EBD">
            <w:pPr>
              <w:pStyle w:val="Heading1"/>
              <w:jc w:val="both"/>
              <w:rPr>
                <w:lang w:val="en-GB"/>
              </w:rPr>
            </w:pPr>
          </w:p>
        </w:tc>
        <w:tc>
          <w:tcPr>
            <w:tcW w:w="1542" w:type="dxa"/>
            <w:tcBorders>
              <w:bottom w:val="single" w:sz="4" w:space="0" w:color="auto"/>
              <w:right w:val="single" w:sz="4" w:space="0" w:color="auto"/>
            </w:tcBorders>
            <w:shd w:val="clear" w:color="auto" w:fill="auto"/>
          </w:tcPr>
          <w:p w:rsidR="00C02EBD" w:rsidRPr="00C02EBD" w:rsidRDefault="00C02EBD" w:rsidP="00C02EBD">
            <w:pPr>
              <w:pStyle w:val="Heading1"/>
              <w:jc w:val="both"/>
              <w:rPr>
                <w:lang w:val="en-GB"/>
              </w:rPr>
            </w:pPr>
          </w:p>
        </w:tc>
        <w:tc>
          <w:tcPr>
            <w:tcW w:w="1542" w:type="dxa"/>
            <w:tcBorders>
              <w:left w:val="single" w:sz="4" w:space="0" w:color="auto"/>
              <w:bottom w:val="single" w:sz="4" w:space="0" w:color="auto"/>
            </w:tcBorders>
            <w:shd w:val="clear" w:color="auto" w:fill="auto"/>
            <w:vAlign w:val="center"/>
          </w:tcPr>
          <w:p w:rsidR="00C02EBD" w:rsidRPr="00C02EBD" w:rsidRDefault="00C02EBD" w:rsidP="00C02EBD">
            <w:pPr>
              <w:pStyle w:val="Heading1"/>
              <w:jc w:val="both"/>
              <w:rPr>
                <w:i/>
              </w:rPr>
            </w:pPr>
            <w:r w:rsidRPr="00C02EBD">
              <w:rPr>
                <w:i/>
              </w:rPr>
              <w:t>Total</w:t>
            </w:r>
          </w:p>
        </w:tc>
        <w:tc>
          <w:tcPr>
            <w:tcW w:w="1542" w:type="dxa"/>
            <w:tcBorders>
              <w:bottom w:val="single" w:sz="4" w:space="0" w:color="auto"/>
              <w:right w:val="single" w:sz="4" w:space="0" w:color="auto"/>
            </w:tcBorders>
            <w:shd w:val="clear" w:color="auto" w:fill="auto"/>
            <w:vAlign w:val="center"/>
          </w:tcPr>
          <w:p w:rsidR="00C02EBD" w:rsidRPr="00C02EBD" w:rsidRDefault="00C02EBD" w:rsidP="00C02EBD">
            <w:pPr>
              <w:pStyle w:val="Heading1"/>
              <w:jc w:val="both"/>
              <w:rPr>
                <w:i/>
              </w:rPr>
            </w:pPr>
            <w:r w:rsidRPr="00C02EBD">
              <w:rPr>
                <w:i/>
              </w:rPr>
              <w:t>100.0</w:t>
            </w:r>
          </w:p>
        </w:tc>
        <w:tc>
          <w:tcPr>
            <w:tcW w:w="1542" w:type="dxa"/>
            <w:tcBorders>
              <w:left w:val="single" w:sz="4" w:space="0" w:color="auto"/>
            </w:tcBorders>
            <w:shd w:val="clear" w:color="auto" w:fill="auto"/>
          </w:tcPr>
          <w:p w:rsidR="00C02EBD" w:rsidRPr="00C02EBD" w:rsidRDefault="00C02EBD" w:rsidP="00C02EBD">
            <w:pPr>
              <w:pStyle w:val="Heading1"/>
              <w:jc w:val="both"/>
              <w:rPr>
                <w:lang w:val="en-GB"/>
              </w:rPr>
            </w:pPr>
          </w:p>
        </w:tc>
        <w:tc>
          <w:tcPr>
            <w:tcW w:w="1543" w:type="dxa"/>
            <w:shd w:val="clear" w:color="auto" w:fill="auto"/>
          </w:tcPr>
          <w:p w:rsidR="00C02EBD" w:rsidRPr="00C02EBD" w:rsidRDefault="00C02EBD" w:rsidP="00C02EBD">
            <w:pPr>
              <w:pStyle w:val="Heading1"/>
              <w:jc w:val="both"/>
              <w:rPr>
                <w:lang w:val="en-GB"/>
              </w:rPr>
            </w:pPr>
          </w:p>
        </w:tc>
      </w:tr>
    </w:tbl>
    <w:p w:rsidR="00391579" w:rsidRPr="003711B6" w:rsidRDefault="00391579" w:rsidP="005D64D8">
      <w:pPr>
        <w:pStyle w:val="Heading1"/>
        <w:ind w:left="0"/>
        <w:jc w:val="both"/>
        <w:rPr>
          <w:b w:val="0"/>
        </w:rPr>
      </w:pPr>
    </w:p>
    <w:p w:rsidR="003711B6" w:rsidRPr="00391579" w:rsidRDefault="003711B6" w:rsidP="003711B6">
      <w:pPr>
        <w:pStyle w:val="Heading1"/>
        <w:jc w:val="both"/>
      </w:pPr>
      <w:r w:rsidRPr="00391579">
        <w:t xml:space="preserve">RESULTS AND DISCUSSION </w:t>
      </w:r>
    </w:p>
    <w:p w:rsidR="00C02EBD" w:rsidRPr="00C02EBD" w:rsidRDefault="00C02EBD" w:rsidP="00C02EBD">
      <w:pPr>
        <w:pStyle w:val="Heading1"/>
        <w:jc w:val="both"/>
        <w:rPr>
          <w:b w:val="0"/>
          <w:lang w:val="en-GB"/>
        </w:rPr>
      </w:pPr>
      <w:proofErr w:type="gramStart"/>
      <w:r w:rsidRPr="00C02EBD">
        <w:rPr>
          <w:b w:val="0"/>
          <w:lang w:val="en-GB"/>
        </w:rPr>
        <w:t>In order to statistically analyse</w:t>
      </w:r>
      <w:proofErr w:type="gramEnd"/>
      <w:r w:rsidRPr="00C02EBD">
        <w:rPr>
          <w:b w:val="0"/>
          <w:lang w:val="en-GB"/>
        </w:rPr>
        <w:t xml:space="preserve"> the measurement and structural models, this study used Smart PLS software for Structural Equation </w:t>
      </w:r>
      <w:proofErr w:type="spellStart"/>
      <w:r w:rsidRPr="00C02EBD">
        <w:rPr>
          <w:b w:val="0"/>
          <w:lang w:val="en-GB"/>
        </w:rPr>
        <w:t>Modeling</w:t>
      </w:r>
      <w:proofErr w:type="spellEnd"/>
      <w:r w:rsidRPr="00C02EBD">
        <w:rPr>
          <w:b w:val="0"/>
          <w:lang w:val="en-GB"/>
        </w:rPr>
        <w:t xml:space="preserve"> (SEM) technique. In SEM, the measurement model refers to the linkages between the latent variables and their manifest variables and the structural model captures the hypothesized causal relationships among the research constructs. SEM enables the simultaneous examination of both the path (structural) and factor (measurement) models in one model. In addition to that, Smart PLS combines a factor analysis with near regressions, makes only minimal assumptions, with the goal of variance explanation (high R-square). Furthermore, Smart PLS supports both exploratory and confirmatory research, is robust to deviations for multivariate normal distributions, and is good for small sample size. Since the current study sample size is relatively small, </w:t>
      </w:r>
      <w:proofErr w:type="gramStart"/>
      <w:r w:rsidRPr="00C02EBD">
        <w:rPr>
          <w:b w:val="0"/>
          <w:lang w:val="en-GB"/>
        </w:rPr>
        <w:t>Smart</w:t>
      </w:r>
      <w:proofErr w:type="gramEnd"/>
      <w:r w:rsidRPr="00C02EBD">
        <w:rPr>
          <w:b w:val="0"/>
          <w:lang w:val="en-GB"/>
        </w:rPr>
        <w:t xml:space="preserve"> PLS was found more appropriate and befitting the purpose of the current study (</w:t>
      </w:r>
      <w:proofErr w:type="spellStart"/>
      <w:r w:rsidRPr="00C02EBD">
        <w:rPr>
          <w:b w:val="0"/>
          <w:lang w:val="en-GB"/>
        </w:rPr>
        <w:t>Chinomona</w:t>
      </w:r>
      <w:proofErr w:type="spellEnd"/>
      <w:r w:rsidRPr="00C02EBD">
        <w:rPr>
          <w:b w:val="0"/>
          <w:lang w:val="en-GB"/>
        </w:rPr>
        <w:t xml:space="preserve"> &amp; </w:t>
      </w:r>
      <w:proofErr w:type="spellStart"/>
      <w:r w:rsidRPr="00C02EBD">
        <w:rPr>
          <w:b w:val="0"/>
          <w:lang w:val="en-GB"/>
        </w:rPr>
        <w:t>Sandada</w:t>
      </w:r>
      <w:proofErr w:type="spellEnd"/>
      <w:r w:rsidRPr="00C02EBD">
        <w:rPr>
          <w:b w:val="0"/>
          <w:lang w:val="en-GB"/>
        </w:rPr>
        <w:t xml:space="preserve">, 2013). A measurement model of the conceptual model two latent variables </w:t>
      </w:r>
      <w:proofErr w:type="gramStart"/>
      <w:r w:rsidRPr="00C02EBD">
        <w:rPr>
          <w:b w:val="0"/>
          <w:lang w:val="en-GB"/>
        </w:rPr>
        <w:t>was estimated</w:t>
      </w:r>
      <w:proofErr w:type="gramEnd"/>
      <w:r w:rsidRPr="00C02EBD">
        <w:rPr>
          <w:b w:val="0"/>
          <w:lang w:val="en-GB"/>
        </w:rPr>
        <w:t xml:space="preserve">. All constructs were </w:t>
      </w:r>
      <w:proofErr w:type="spellStart"/>
      <w:r w:rsidRPr="00C02EBD">
        <w:rPr>
          <w:b w:val="0"/>
          <w:lang w:val="en-GB"/>
        </w:rPr>
        <w:t>modeled</w:t>
      </w:r>
      <w:proofErr w:type="spellEnd"/>
      <w:r w:rsidRPr="00C02EBD">
        <w:rPr>
          <w:b w:val="0"/>
          <w:lang w:val="en-GB"/>
        </w:rPr>
        <w:t xml:space="preserve"> using reflective indicators. Construct reliability was assessed using Composite Reliabilities (CR) values and Cronbach’s Alpha (CA) values. As indicated in Table 2, the CR and CA values are significant for both construct. </w:t>
      </w:r>
    </w:p>
    <w:p w:rsidR="00C02EBD" w:rsidRPr="00C02EBD" w:rsidRDefault="00C02EBD" w:rsidP="00C02EBD">
      <w:pPr>
        <w:pStyle w:val="Heading1"/>
        <w:jc w:val="both"/>
        <w:rPr>
          <w:b w:val="0"/>
          <w:lang w:val="en-GB"/>
        </w:rPr>
      </w:pPr>
    </w:p>
    <w:p w:rsidR="00C02EBD" w:rsidRDefault="00C02EBD" w:rsidP="00C02EBD">
      <w:pPr>
        <w:pStyle w:val="Heading1"/>
        <w:jc w:val="center"/>
        <w:rPr>
          <w:b w:val="0"/>
          <w:lang w:val="en-GB"/>
        </w:rPr>
      </w:pPr>
      <w:r w:rsidRPr="00C02EBD">
        <w:rPr>
          <w:b w:val="0"/>
          <w:lang w:val="en-GB"/>
        </w:rPr>
        <w:t>Table 2 Accuracy analysis statistic</w:t>
      </w:r>
    </w:p>
    <w:tbl>
      <w:tblPr>
        <w:tblW w:w="9013" w:type="dxa"/>
        <w:jc w:val="center"/>
        <w:tblBorders>
          <w:top w:val="single" w:sz="4" w:space="0" w:color="auto"/>
          <w:bottom w:val="single" w:sz="4" w:space="0" w:color="auto"/>
        </w:tblBorders>
        <w:tblLayout w:type="fixed"/>
        <w:tblLook w:val="04A0"/>
      </w:tblPr>
      <w:tblGrid>
        <w:gridCol w:w="708"/>
        <w:gridCol w:w="3731"/>
        <w:gridCol w:w="918"/>
        <w:gridCol w:w="992"/>
        <w:gridCol w:w="1276"/>
        <w:gridCol w:w="1388"/>
      </w:tblGrid>
      <w:tr w:rsidR="00C02EBD" w:rsidRPr="009B5F04" w:rsidTr="00F86E3F">
        <w:trPr>
          <w:trHeight w:val="211"/>
          <w:jc w:val="center"/>
        </w:trPr>
        <w:tc>
          <w:tcPr>
            <w:tcW w:w="4439" w:type="dxa"/>
            <w:gridSpan w:val="2"/>
            <w:vMerge w:val="restart"/>
            <w:tcBorders>
              <w:top w:val="single" w:sz="4" w:space="0" w:color="auto"/>
              <w:bottom w:val="nil"/>
            </w:tcBorders>
            <w:shd w:val="clear" w:color="auto" w:fill="auto"/>
          </w:tcPr>
          <w:p w:rsidR="00C02EBD" w:rsidRPr="003F5F4A" w:rsidRDefault="00C02EBD" w:rsidP="00F86E3F">
            <w:pPr>
              <w:rPr>
                <w:b/>
                <w:i/>
                <w:sz w:val="18"/>
                <w:szCs w:val="18"/>
              </w:rPr>
            </w:pPr>
          </w:p>
          <w:p w:rsidR="00C02EBD" w:rsidRPr="003F5F4A" w:rsidRDefault="00C02EBD" w:rsidP="00F86E3F">
            <w:pPr>
              <w:jc w:val="center"/>
              <w:rPr>
                <w:b/>
                <w:i/>
                <w:sz w:val="18"/>
                <w:szCs w:val="18"/>
              </w:rPr>
            </w:pPr>
            <w:r w:rsidRPr="003F5F4A">
              <w:rPr>
                <w:b/>
                <w:i/>
                <w:sz w:val="18"/>
                <w:szCs w:val="18"/>
              </w:rPr>
              <w:t>Research Construct</w:t>
            </w:r>
          </w:p>
        </w:tc>
        <w:tc>
          <w:tcPr>
            <w:tcW w:w="1910" w:type="dxa"/>
            <w:gridSpan w:val="2"/>
            <w:tcBorders>
              <w:top w:val="single" w:sz="4" w:space="0" w:color="auto"/>
              <w:bottom w:val="nil"/>
            </w:tcBorders>
            <w:shd w:val="clear" w:color="auto" w:fill="auto"/>
          </w:tcPr>
          <w:p w:rsidR="00C02EBD" w:rsidRPr="003F5F4A" w:rsidRDefault="00C02EBD" w:rsidP="00F86E3F">
            <w:pPr>
              <w:jc w:val="center"/>
              <w:rPr>
                <w:b/>
                <w:i/>
                <w:sz w:val="18"/>
                <w:szCs w:val="18"/>
              </w:rPr>
            </w:pPr>
            <w:r w:rsidRPr="003F5F4A">
              <w:rPr>
                <w:b/>
                <w:i/>
                <w:sz w:val="18"/>
                <w:szCs w:val="18"/>
              </w:rPr>
              <w:t>Convergent validity</w:t>
            </w:r>
          </w:p>
        </w:tc>
        <w:tc>
          <w:tcPr>
            <w:tcW w:w="2664" w:type="dxa"/>
            <w:gridSpan w:val="2"/>
            <w:tcBorders>
              <w:top w:val="single" w:sz="4" w:space="0" w:color="auto"/>
              <w:bottom w:val="nil"/>
            </w:tcBorders>
            <w:shd w:val="clear" w:color="auto" w:fill="auto"/>
          </w:tcPr>
          <w:p w:rsidR="00C02EBD" w:rsidRPr="003F5F4A" w:rsidRDefault="00C02EBD" w:rsidP="00F86E3F">
            <w:pPr>
              <w:jc w:val="center"/>
              <w:rPr>
                <w:b/>
                <w:i/>
                <w:sz w:val="18"/>
                <w:szCs w:val="18"/>
              </w:rPr>
            </w:pPr>
            <w:r w:rsidRPr="003F5F4A">
              <w:rPr>
                <w:b/>
                <w:i/>
                <w:sz w:val="18"/>
                <w:szCs w:val="18"/>
              </w:rPr>
              <w:t>Internal consistency</w:t>
            </w:r>
          </w:p>
        </w:tc>
      </w:tr>
      <w:tr w:rsidR="00C02EBD" w:rsidRPr="009B5F04" w:rsidTr="00F86E3F">
        <w:trPr>
          <w:trHeight w:val="698"/>
          <w:jc w:val="center"/>
        </w:trPr>
        <w:tc>
          <w:tcPr>
            <w:tcW w:w="4439" w:type="dxa"/>
            <w:gridSpan w:val="2"/>
            <w:vMerge/>
            <w:tcBorders>
              <w:top w:val="nil"/>
              <w:bottom w:val="single" w:sz="4" w:space="0" w:color="auto"/>
            </w:tcBorders>
            <w:shd w:val="clear" w:color="auto" w:fill="auto"/>
          </w:tcPr>
          <w:p w:rsidR="00C02EBD" w:rsidRPr="003F5F4A" w:rsidRDefault="00C02EBD" w:rsidP="00F86E3F">
            <w:pPr>
              <w:rPr>
                <w:b/>
                <w:i/>
                <w:sz w:val="18"/>
                <w:szCs w:val="18"/>
              </w:rPr>
            </w:pPr>
          </w:p>
        </w:tc>
        <w:tc>
          <w:tcPr>
            <w:tcW w:w="918" w:type="dxa"/>
            <w:tcBorders>
              <w:top w:val="nil"/>
              <w:bottom w:val="single" w:sz="4" w:space="0" w:color="auto"/>
            </w:tcBorders>
            <w:shd w:val="clear" w:color="auto" w:fill="auto"/>
            <w:vAlign w:val="center"/>
          </w:tcPr>
          <w:p w:rsidR="00C02EBD" w:rsidRPr="003F5F4A" w:rsidRDefault="00C02EBD" w:rsidP="00F86E3F">
            <w:pPr>
              <w:rPr>
                <w:b/>
                <w:i/>
                <w:sz w:val="18"/>
                <w:szCs w:val="18"/>
              </w:rPr>
            </w:pPr>
            <w:r w:rsidRPr="003F5F4A">
              <w:rPr>
                <w:b/>
                <w:i/>
                <w:sz w:val="18"/>
                <w:szCs w:val="18"/>
              </w:rPr>
              <w:t>Factor Loading</w:t>
            </w:r>
          </w:p>
        </w:tc>
        <w:tc>
          <w:tcPr>
            <w:tcW w:w="992" w:type="dxa"/>
            <w:tcBorders>
              <w:top w:val="nil"/>
              <w:bottom w:val="single" w:sz="4" w:space="0" w:color="auto"/>
            </w:tcBorders>
            <w:shd w:val="clear" w:color="auto" w:fill="auto"/>
            <w:vAlign w:val="center"/>
          </w:tcPr>
          <w:p w:rsidR="00C02EBD" w:rsidRPr="003F5F4A" w:rsidRDefault="00C02EBD" w:rsidP="00F86E3F">
            <w:pPr>
              <w:rPr>
                <w:b/>
                <w:i/>
                <w:sz w:val="18"/>
                <w:szCs w:val="18"/>
              </w:rPr>
            </w:pPr>
            <w:r w:rsidRPr="003F5F4A">
              <w:rPr>
                <w:b/>
                <w:i/>
                <w:sz w:val="18"/>
                <w:szCs w:val="18"/>
              </w:rPr>
              <w:t>AVE Value</w:t>
            </w:r>
          </w:p>
        </w:tc>
        <w:tc>
          <w:tcPr>
            <w:tcW w:w="1276" w:type="dxa"/>
            <w:tcBorders>
              <w:top w:val="nil"/>
              <w:bottom w:val="single" w:sz="4" w:space="0" w:color="auto"/>
            </w:tcBorders>
            <w:shd w:val="clear" w:color="auto" w:fill="auto"/>
            <w:vAlign w:val="center"/>
          </w:tcPr>
          <w:p w:rsidR="00C02EBD" w:rsidRPr="003F5F4A" w:rsidRDefault="00C02EBD" w:rsidP="00F86E3F">
            <w:pPr>
              <w:rPr>
                <w:b/>
                <w:i/>
                <w:sz w:val="18"/>
                <w:szCs w:val="18"/>
              </w:rPr>
            </w:pPr>
            <w:r w:rsidRPr="003F5F4A">
              <w:rPr>
                <w:b/>
                <w:i/>
                <w:sz w:val="18"/>
                <w:szCs w:val="18"/>
              </w:rPr>
              <w:t>Composite Reliability (CR)</w:t>
            </w:r>
          </w:p>
        </w:tc>
        <w:tc>
          <w:tcPr>
            <w:tcW w:w="1388" w:type="dxa"/>
            <w:tcBorders>
              <w:top w:val="nil"/>
              <w:bottom w:val="single" w:sz="4" w:space="0" w:color="auto"/>
            </w:tcBorders>
            <w:shd w:val="clear" w:color="auto" w:fill="auto"/>
            <w:vAlign w:val="center"/>
          </w:tcPr>
          <w:p w:rsidR="00C02EBD" w:rsidRPr="003F5F4A" w:rsidRDefault="00C02EBD" w:rsidP="00F86E3F">
            <w:pPr>
              <w:rPr>
                <w:b/>
                <w:i/>
                <w:sz w:val="18"/>
                <w:szCs w:val="18"/>
              </w:rPr>
            </w:pPr>
            <w:r w:rsidRPr="003F5F4A">
              <w:rPr>
                <w:b/>
                <w:i/>
                <w:sz w:val="18"/>
                <w:szCs w:val="18"/>
              </w:rPr>
              <w:t>Cronbach’s Alpha (CA)</w:t>
            </w:r>
          </w:p>
        </w:tc>
      </w:tr>
      <w:tr w:rsidR="00C02EBD" w:rsidRPr="009B5F04" w:rsidTr="00F86E3F">
        <w:trPr>
          <w:trHeight w:val="211"/>
          <w:jc w:val="center"/>
        </w:trPr>
        <w:tc>
          <w:tcPr>
            <w:tcW w:w="708" w:type="dxa"/>
            <w:vMerge w:val="restart"/>
            <w:tcBorders>
              <w:top w:val="single" w:sz="4" w:space="0" w:color="auto"/>
            </w:tcBorders>
            <w:shd w:val="clear" w:color="auto" w:fill="auto"/>
            <w:textDirection w:val="btLr"/>
            <w:vAlign w:val="center"/>
          </w:tcPr>
          <w:p w:rsidR="00C02EBD" w:rsidRPr="003F5F4A" w:rsidRDefault="00C02EBD" w:rsidP="00F86E3F">
            <w:pPr>
              <w:jc w:val="center"/>
              <w:rPr>
                <w:sz w:val="18"/>
                <w:szCs w:val="18"/>
              </w:rPr>
            </w:pPr>
            <w:r>
              <w:rPr>
                <w:sz w:val="18"/>
                <w:szCs w:val="18"/>
              </w:rPr>
              <w:t xml:space="preserve">End </w:t>
            </w:r>
            <w:r w:rsidRPr="003F5F4A">
              <w:rPr>
                <w:sz w:val="18"/>
                <w:szCs w:val="18"/>
              </w:rPr>
              <w:t>user characteristic</w:t>
            </w:r>
          </w:p>
        </w:tc>
        <w:tc>
          <w:tcPr>
            <w:tcW w:w="3731" w:type="dxa"/>
            <w:tcBorders>
              <w:top w:val="single" w:sz="4" w:space="0" w:color="auto"/>
            </w:tcBorders>
            <w:shd w:val="clear" w:color="auto" w:fill="auto"/>
          </w:tcPr>
          <w:p w:rsidR="00C02EBD" w:rsidRPr="003F5F4A" w:rsidRDefault="00C02EBD" w:rsidP="00F86E3F">
            <w:pPr>
              <w:rPr>
                <w:i/>
                <w:sz w:val="18"/>
                <w:szCs w:val="18"/>
              </w:rPr>
            </w:pPr>
            <w:r w:rsidRPr="003F5F4A">
              <w:rPr>
                <w:i/>
                <w:sz w:val="18"/>
                <w:szCs w:val="18"/>
              </w:rPr>
              <w:t>Prevention of vandalism</w:t>
            </w:r>
          </w:p>
        </w:tc>
        <w:tc>
          <w:tcPr>
            <w:tcW w:w="918" w:type="dxa"/>
            <w:tcBorders>
              <w:top w:val="single" w:sz="4" w:space="0" w:color="auto"/>
            </w:tcBorders>
            <w:shd w:val="clear" w:color="auto" w:fill="auto"/>
          </w:tcPr>
          <w:p w:rsidR="00C02EBD" w:rsidRPr="009B5F04" w:rsidRDefault="00C02EBD" w:rsidP="00F86E3F">
            <w:pPr>
              <w:rPr>
                <w:sz w:val="18"/>
                <w:szCs w:val="18"/>
              </w:rPr>
            </w:pPr>
            <w:r w:rsidRPr="009B5F04">
              <w:rPr>
                <w:sz w:val="18"/>
                <w:szCs w:val="18"/>
              </w:rPr>
              <w:t>0.855</w:t>
            </w:r>
          </w:p>
        </w:tc>
        <w:tc>
          <w:tcPr>
            <w:tcW w:w="992" w:type="dxa"/>
            <w:vMerge w:val="restart"/>
            <w:tcBorders>
              <w:top w:val="single" w:sz="4" w:space="0" w:color="auto"/>
            </w:tcBorders>
            <w:shd w:val="clear" w:color="auto" w:fill="auto"/>
            <w:vAlign w:val="center"/>
          </w:tcPr>
          <w:p w:rsidR="00C02EBD" w:rsidRPr="009B5F04" w:rsidRDefault="00C02EBD" w:rsidP="00F86E3F">
            <w:pPr>
              <w:jc w:val="center"/>
              <w:rPr>
                <w:sz w:val="18"/>
                <w:szCs w:val="18"/>
              </w:rPr>
            </w:pPr>
            <w:r w:rsidRPr="009B5F04">
              <w:rPr>
                <w:sz w:val="18"/>
                <w:szCs w:val="18"/>
              </w:rPr>
              <w:t>0.5224</w:t>
            </w:r>
          </w:p>
        </w:tc>
        <w:tc>
          <w:tcPr>
            <w:tcW w:w="1276" w:type="dxa"/>
            <w:vMerge w:val="restart"/>
            <w:tcBorders>
              <w:top w:val="single" w:sz="4" w:space="0" w:color="auto"/>
            </w:tcBorders>
            <w:shd w:val="clear" w:color="auto" w:fill="auto"/>
            <w:vAlign w:val="center"/>
          </w:tcPr>
          <w:p w:rsidR="00C02EBD" w:rsidRPr="009B5F04" w:rsidRDefault="00C02EBD" w:rsidP="00F86E3F">
            <w:pPr>
              <w:jc w:val="center"/>
              <w:rPr>
                <w:sz w:val="18"/>
                <w:szCs w:val="18"/>
              </w:rPr>
            </w:pPr>
            <w:r w:rsidRPr="009B5F04">
              <w:rPr>
                <w:sz w:val="18"/>
                <w:szCs w:val="18"/>
              </w:rPr>
              <w:t>0.8653</w:t>
            </w:r>
          </w:p>
        </w:tc>
        <w:tc>
          <w:tcPr>
            <w:tcW w:w="1388" w:type="dxa"/>
            <w:vMerge w:val="restart"/>
            <w:tcBorders>
              <w:top w:val="single" w:sz="4" w:space="0" w:color="auto"/>
            </w:tcBorders>
            <w:shd w:val="clear" w:color="auto" w:fill="auto"/>
            <w:vAlign w:val="center"/>
          </w:tcPr>
          <w:p w:rsidR="00C02EBD" w:rsidRPr="009B5F04" w:rsidRDefault="00C02EBD" w:rsidP="00F86E3F">
            <w:pPr>
              <w:jc w:val="center"/>
              <w:rPr>
                <w:sz w:val="18"/>
                <w:szCs w:val="18"/>
              </w:rPr>
            </w:pPr>
            <w:r w:rsidRPr="009B5F04">
              <w:rPr>
                <w:sz w:val="18"/>
                <w:szCs w:val="18"/>
              </w:rPr>
              <w:t>0.8664</w:t>
            </w:r>
          </w:p>
        </w:tc>
      </w:tr>
      <w:tr w:rsidR="00C02EBD" w:rsidRPr="009B5F04" w:rsidTr="00F86E3F">
        <w:trPr>
          <w:trHeight w:val="227"/>
          <w:jc w:val="center"/>
        </w:trPr>
        <w:tc>
          <w:tcPr>
            <w:tcW w:w="708" w:type="dxa"/>
            <w:vMerge/>
            <w:shd w:val="clear" w:color="auto" w:fill="auto"/>
            <w:vAlign w:val="center"/>
          </w:tcPr>
          <w:p w:rsidR="00C02EBD" w:rsidRPr="003F5F4A" w:rsidRDefault="00C02EBD" w:rsidP="00F86E3F">
            <w:pPr>
              <w:jc w:val="cente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Regulation and compliance</w:t>
            </w:r>
          </w:p>
        </w:tc>
        <w:tc>
          <w:tcPr>
            <w:tcW w:w="918" w:type="dxa"/>
            <w:shd w:val="clear" w:color="auto" w:fill="auto"/>
          </w:tcPr>
          <w:p w:rsidR="00C02EBD" w:rsidRPr="009B5F04" w:rsidRDefault="00C02EBD" w:rsidP="00F86E3F">
            <w:pPr>
              <w:rPr>
                <w:sz w:val="18"/>
                <w:szCs w:val="18"/>
              </w:rPr>
            </w:pPr>
            <w:r w:rsidRPr="009B5F04">
              <w:rPr>
                <w:sz w:val="18"/>
                <w:szCs w:val="18"/>
              </w:rPr>
              <w:t>0.675</w:t>
            </w:r>
          </w:p>
        </w:tc>
        <w:tc>
          <w:tcPr>
            <w:tcW w:w="992" w:type="dxa"/>
            <w:vMerge/>
            <w:shd w:val="clear" w:color="auto" w:fill="auto"/>
            <w:vAlign w:val="center"/>
          </w:tcPr>
          <w:p w:rsidR="00C02EBD" w:rsidRPr="009B5F04" w:rsidRDefault="00C02EBD" w:rsidP="00F86E3F">
            <w:pPr>
              <w:jc w:val="center"/>
              <w:rPr>
                <w:sz w:val="18"/>
                <w:szCs w:val="18"/>
              </w:rPr>
            </w:pPr>
          </w:p>
        </w:tc>
        <w:tc>
          <w:tcPr>
            <w:tcW w:w="1276" w:type="dxa"/>
            <w:vMerge/>
            <w:shd w:val="clear" w:color="auto" w:fill="auto"/>
            <w:vAlign w:val="center"/>
          </w:tcPr>
          <w:p w:rsidR="00C02EBD" w:rsidRPr="009B5F04" w:rsidRDefault="00C02EBD" w:rsidP="00F86E3F">
            <w:pPr>
              <w:jc w:val="center"/>
              <w:rPr>
                <w:sz w:val="18"/>
                <w:szCs w:val="18"/>
              </w:rPr>
            </w:pPr>
          </w:p>
        </w:tc>
        <w:tc>
          <w:tcPr>
            <w:tcW w:w="1388" w:type="dxa"/>
            <w:vMerge/>
            <w:shd w:val="clear" w:color="auto" w:fill="auto"/>
            <w:vAlign w:val="center"/>
          </w:tcPr>
          <w:p w:rsidR="00C02EBD" w:rsidRPr="009B5F04" w:rsidRDefault="00C02EBD" w:rsidP="00F86E3F">
            <w:pPr>
              <w:jc w:val="center"/>
              <w:rPr>
                <w:sz w:val="18"/>
                <w:szCs w:val="18"/>
              </w:rPr>
            </w:pPr>
          </w:p>
        </w:tc>
      </w:tr>
      <w:tr w:rsidR="00C02EBD" w:rsidRPr="009B5F04" w:rsidTr="00F86E3F">
        <w:trPr>
          <w:trHeight w:val="243"/>
          <w:jc w:val="center"/>
        </w:trPr>
        <w:tc>
          <w:tcPr>
            <w:tcW w:w="708" w:type="dxa"/>
            <w:vMerge/>
            <w:shd w:val="clear" w:color="auto" w:fill="auto"/>
            <w:vAlign w:val="center"/>
          </w:tcPr>
          <w:p w:rsidR="00C02EBD" w:rsidRPr="003F5F4A" w:rsidRDefault="00C02EBD" w:rsidP="00F86E3F">
            <w:pPr>
              <w:jc w:val="cente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Use and accessibility of property</w:t>
            </w:r>
          </w:p>
        </w:tc>
        <w:tc>
          <w:tcPr>
            <w:tcW w:w="918" w:type="dxa"/>
            <w:shd w:val="clear" w:color="auto" w:fill="auto"/>
          </w:tcPr>
          <w:p w:rsidR="00C02EBD" w:rsidRPr="009B5F04" w:rsidRDefault="00C02EBD" w:rsidP="00F86E3F">
            <w:pPr>
              <w:rPr>
                <w:sz w:val="18"/>
                <w:szCs w:val="18"/>
              </w:rPr>
            </w:pPr>
            <w:r w:rsidRPr="009B5F04">
              <w:rPr>
                <w:sz w:val="18"/>
                <w:szCs w:val="18"/>
              </w:rPr>
              <w:t>0.924</w:t>
            </w:r>
          </w:p>
        </w:tc>
        <w:tc>
          <w:tcPr>
            <w:tcW w:w="992" w:type="dxa"/>
            <w:vMerge/>
            <w:shd w:val="clear" w:color="auto" w:fill="auto"/>
            <w:vAlign w:val="center"/>
          </w:tcPr>
          <w:p w:rsidR="00C02EBD" w:rsidRPr="009B5F04" w:rsidRDefault="00C02EBD" w:rsidP="00F86E3F">
            <w:pPr>
              <w:jc w:val="center"/>
              <w:rPr>
                <w:sz w:val="18"/>
                <w:szCs w:val="18"/>
              </w:rPr>
            </w:pPr>
          </w:p>
        </w:tc>
        <w:tc>
          <w:tcPr>
            <w:tcW w:w="1276" w:type="dxa"/>
            <w:vMerge/>
            <w:shd w:val="clear" w:color="auto" w:fill="auto"/>
            <w:vAlign w:val="center"/>
          </w:tcPr>
          <w:p w:rsidR="00C02EBD" w:rsidRPr="009B5F04" w:rsidRDefault="00C02EBD" w:rsidP="00F86E3F">
            <w:pPr>
              <w:jc w:val="center"/>
              <w:rPr>
                <w:sz w:val="18"/>
                <w:szCs w:val="18"/>
              </w:rPr>
            </w:pPr>
          </w:p>
        </w:tc>
        <w:tc>
          <w:tcPr>
            <w:tcW w:w="1388" w:type="dxa"/>
            <w:vMerge/>
            <w:shd w:val="clear" w:color="auto" w:fill="auto"/>
            <w:vAlign w:val="center"/>
          </w:tcPr>
          <w:p w:rsidR="00C02EBD" w:rsidRPr="009B5F04" w:rsidRDefault="00C02EBD" w:rsidP="00F86E3F">
            <w:pPr>
              <w:jc w:val="center"/>
              <w:rPr>
                <w:sz w:val="18"/>
                <w:szCs w:val="18"/>
              </w:rPr>
            </w:pPr>
          </w:p>
        </w:tc>
      </w:tr>
      <w:tr w:rsidR="00C02EBD" w:rsidRPr="009B5F04" w:rsidTr="00F86E3F">
        <w:trPr>
          <w:trHeight w:val="227"/>
          <w:jc w:val="center"/>
        </w:trPr>
        <w:tc>
          <w:tcPr>
            <w:tcW w:w="708" w:type="dxa"/>
            <w:vMerge/>
            <w:shd w:val="clear" w:color="auto" w:fill="auto"/>
            <w:vAlign w:val="center"/>
          </w:tcPr>
          <w:p w:rsidR="00C02EBD" w:rsidRPr="003F5F4A" w:rsidRDefault="00C02EBD" w:rsidP="00F86E3F">
            <w:pPr>
              <w:jc w:val="cente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Reporting and response problems</w:t>
            </w:r>
          </w:p>
        </w:tc>
        <w:tc>
          <w:tcPr>
            <w:tcW w:w="918" w:type="dxa"/>
            <w:shd w:val="clear" w:color="auto" w:fill="auto"/>
          </w:tcPr>
          <w:p w:rsidR="00C02EBD" w:rsidRPr="009B5F04" w:rsidRDefault="00C02EBD" w:rsidP="00F86E3F">
            <w:pPr>
              <w:rPr>
                <w:sz w:val="18"/>
                <w:szCs w:val="18"/>
              </w:rPr>
            </w:pPr>
            <w:r w:rsidRPr="009B5F04">
              <w:rPr>
                <w:sz w:val="18"/>
                <w:szCs w:val="18"/>
              </w:rPr>
              <w:t>0.937</w:t>
            </w:r>
          </w:p>
        </w:tc>
        <w:tc>
          <w:tcPr>
            <w:tcW w:w="992" w:type="dxa"/>
            <w:vMerge/>
            <w:shd w:val="clear" w:color="auto" w:fill="auto"/>
            <w:vAlign w:val="center"/>
          </w:tcPr>
          <w:p w:rsidR="00C02EBD" w:rsidRPr="009B5F04" w:rsidRDefault="00C02EBD" w:rsidP="00F86E3F">
            <w:pPr>
              <w:jc w:val="center"/>
              <w:rPr>
                <w:sz w:val="18"/>
                <w:szCs w:val="18"/>
              </w:rPr>
            </w:pPr>
          </w:p>
        </w:tc>
        <w:tc>
          <w:tcPr>
            <w:tcW w:w="1276" w:type="dxa"/>
            <w:vMerge/>
            <w:shd w:val="clear" w:color="auto" w:fill="auto"/>
            <w:vAlign w:val="center"/>
          </w:tcPr>
          <w:p w:rsidR="00C02EBD" w:rsidRPr="009B5F04" w:rsidRDefault="00C02EBD" w:rsidP="00F86E3F">
            <w:pPr>
              <w:jc w:val="center"/>
              <w:rPr>
                <w:sz w:val="18"/>
                <w:szCs w:val="18"/>
              </w:rPr>
            </w:pPr>
          </w:p>
        </w:tc>
        <w:tc>
          <w:tcPr>
            <w:tcW w:w="1388" w:type="dxa"/>
            <w:vMerge/>
            <w:shd w:val="clear" w:color="auto" w:fill="auto"/>
            <w:vAlign w:val="center"/>
          </w:tcPr>
          <w:p w:rsidR="00C02EBD" w:rsidRPr="009B5F04" w:rsidRDefault="00C02EBD" w:rsidP="00F86E3F">
            <w:pPr>
              <w:jc w:val="center"/>
              <w:rPr>
                <w:sz w:val="18"/>
                <w:szCs w:val="18"/>
              </w:rPr>
            </w:pPr>
          </w:p>
        </w:tc>
      </w:tr>
      <w:tr w:rsidR="00C02EBD" w:rsidRPr="009B5F04" w:rsidTr="00F86E3F">
        <w:trPr>
          <w:trHeight w:val="243"/>
          <w:jc w:val="center"/>
        </w:trPr>
        <w:tc>
          <w:tcPr>
            <w:tcW w:w="708" w:type="dxa"/>
            <w:vMerge/>
            <w:tcBorders>
              <w:bottom w:val="single" w:sz="4" w:space="0" w:color="auto"/>
            </w:tcBorders>
            <w:shd w:val="clear" w:color="auto" w:fill="auto"/>
            <w:vAlign w:val="center"/>
          </w:tcPr>
          <w:p w:rsidR="00C02EBD" w:rsidRPr="003F5F4A" w:rsidRDefault="00C02EBD" w:rsidP="00F86E3F">
            <w:pPr>
              <w:jc w:val="center"/>
              <w:rPr>
                <w:sz w:val="18"/>
                <w:szCs w:val="18"/>
              </w:rPr>
            </w:pPr>
          </w:p>
        </w:tc>
        <w:tc>
          <w:tcPr>
            <w:tcW w:w="3731" w:type="dxa"/>
            <w:tcBorders>
              <w:bottom w:val="single" w:sz="4" w:space="0" w:color="auto"/>
            </w:tcBorders>
            <w:shd w:val="clear" w:color="auto" w:fill="auto"/>
          </w:tcPr>
          <w:p w:rsidR="00C02EBD" w:rsidRPr="003F5F4A" w:rsidRDefault="00C02EBD" w:rsidP="00F86E3F">
            <w:pPr>
              <w:rPr>
                <w:i/>
                <w:sz w:val="18"/>
                <w:szCs w:val="18"/>
              </w:rPr>
            </w:pPr>
            <w:r w:rsidRPr="003F5F4A">
              <w:rPr>
                <w:i/>
                <w:sz w:val="18"/>
                <w:szCs w:val="18"/>
              </w:rPr>
              <w:t>Demand and expectation of users</w:t>
            </w:r>
          </w:p>
        </w:tc>
        <w:tc>
          <w:tcPr>
            <w:tcW w:w="918" w:type="dxa"/>
            <w:tcBorders>
              <w:bottom w:val="single" w:sz="4" w:space="0" w:color="auto"/>
            </w:tcBorders>
            <w:shd w:val="clear" w:color="auto" w:fill="auto"/>
          </w:tcPr>
          <w:p w:rsidR="00C02EBD" w:rsidRPr="009B5F04" w:rsidRDefault="00C02EBD" w:rsidP="00F86E3F">
            <w:pPr>
              <w:rPr>
                <w:sz w:val="18"/>
                <w:szCs w:val="18"/>
              </w:rPr>
            </w:pPr>
            <w:r w:rsidRPr="009B5F04">
              <w:rPr>
                <w:sz w:val="18"/>
                <w:szCs w:val="18"/>
              </w:rPr>
              <w:t>0.877</w:t>
            </w:r>
          </w:p>
        </w:tc>
        <w:tc>
          <w:tcPr>
            <w:tcW w:w="992" w:type="dxa"/>
            <w:vMerge/>
            <w:tcBorders>
              <w:bottom w:val="single" w:sz="4" w:space="0" w:color="auto"/>
            </w:tcBorders>
            <w:shd w:val="clear" w:color="auto" w:fill="auto"/>
            <w:vAlign w:val="center"/>
          </w:tcPr>
          <w:p w:rsidR="00C02EBD" w:rsidRPr="009B5F04" w:rsidRDefault="00C02EBD" w:rsidP="00F86E3F">
            <w:pPr>
              <w:jc w:val="center"/>
              <w:rPr>
                <w:sz w:val="18"/>
                <w:szCs w:val="18"/>
              </w:rPr>
            </w:pPr>
          </w:p>
        </w:tc>
        <w:tc>
          <w:tcPr>
            <w:tcW w:w="1276" w:type="dxa"/>
            <w:vMerge/>
            <w:tcBorders>
              <w:bottom w:val="single" w:sz="4" w:space="0" w:color="auto"/>
            </w:tcBorders>
            <w:shd w:val="clear" w:color="auto" w:fill="auto"/>
            <w:vAlign w:val="center"/>
          </w:tcPr>
          <w:p w:rsidR="00C02EBD" w:rsidRPr="009B5F04" w:rsidRDefault="00C02EBD" w:rsidP="00F86E3F">
            <w:pPr>
              <w:jc w:val="center"/>
              <w:rPr>
                <w:sz w:val="18"/>
                <w:szCs w:val="18"/>
              </w:rPr>
            </w:pPr>
          </w:p>
        </w:tc>
        <w:tc>
          <w:tcPr>
            <w:tcW w:w="1388" w:type="dxa"/>
            <w:vMerge/>
            <w:tcBorders>
              <w:bottom w:val="single" w:sz="4" w:space="0" w:color="auto"/>
            </w:tcBorders>
            <w:shd w:val="clear" w:color="auto" w:fill="auto"/>
            <w:vAlign w:val="center"/>
          </w:tcPr>
          <w:p w:rsidR="00C02EBD" w:rsidRPr="009B5F04" w:rsidRDefault="00C02EBD" w:rsidP="00F86E3F">
            <w:pPr>
              <w:jc w:val="center"/>
              <w:rPr>
                <w:sz w:val="18"/>
                <w:szCs w:val="18"/>
              </w:rPr>
            </w:pPr>
          </w:p>
        </w:tc>
      </w:tr>
      <w:tr w:rsidR="00C02EBD" w:rsidRPr="009B5F04" w:rsidTr="00F86E3F">
        <w:trPr>
          <w:trHeight w:val="211"/>
          <w:jc w:val="center"/>
        </w:trPr>
        <w:tc>
          <w:tcPr>
            <w:tcW w:w="708" w:type="dxa"/>
            <w:vMerge w:val="restart"/>
            <w:tcBorders>
              <w:top w:val="single" w:sz="4" w:space="0" w:color="auto"/>
              <w:bottom w:val="nil"/>
            </w:tcBorders>
            <w:shd w:val="clear" w:color="auto" w:fill="auto"/>
            <w:textDirection w:val="btLr"/>
            <w:vAlign w:val="center"/>
          </w:tcPr>
          <w:p w:rsidR="00C02EBD" w:rsidRPr="003F5F4A" w:rsidRDefault="00C02EBD" w:rsidP="00F86E3F">
            <w:pPr>
              <w:jc w:val="center"/>
              <w:rPr>
                <w:sz w:val="18"/>
                <w:szCs w:val="18"/>
              </w:rPr>
            </w:pPr>
            <w:r>
              <w:rPr>
                <w:sz w:val="18"/>
                <w:szCs w:val="18"/>
              </w:rPr>
              <w:t xml:space="preserve">End </w:t>
            </w:r>
            <w:r w:rsidRPr="003F5F4A">
              <w:rPr>
                <w:sz w:val="18"/>
                <w:szCs w:val="18"/>
              </w:rPr>
              <w:t>user satisfaction</w:t>
            </w:r>
          </w:p>
        </w:tc>
        <w:tc>
          <w:tcPr>
            <w:tcW w:w="3731" w:type="dxa"/>
            <w:tcBorders>
              <w:top w:val="single" w:sz="4" w:space="0" w:color="auto"/>
              <w:bottom w:val="nil"/>
            </w:tcBorders>
            <w:shd w:val="clear" w:color="auto" w:fill="auto"/>
          </w:tcPr>
          <w:p w:rsidR="00C02EBD" w:rsidRPr="003F5F4A" w:rsidRDefault="00C02EBD" w:rsidP="00F86E3F">
            <w:pPr>
              <w:rPr>
                <w:i/>
                <w:sz w:val="18"/>
                <w:szCs w:val="18"/>
              </w:rPr>
            </w:pPr>
            <w:r w:rsidRPr="003F5F4A">
              <w:rPr>
                <w:i/>
                <w:sz w:val="18"/>
                <w:szCs w:val="18"/>
              </w:rPr>
              <w:t>Waiting time response maintenance staff</w:t>
            </w:r>
          </w:p>
        </w:tc>
        <w:tc>
          <w:tcPr>
            <w:tcW w:w="918" w:type="dxa"/>
            <w:tcBorders>
              <w:top w:val="single" w:sz="4" w:space="0" w:color="auto"/>
              <w:bottom w:val="nil"/>
            </w:tcBorders>
            <w:shd w:val="clear" w:color="auto" w:fill="auto"/>
          </w:tcPr>
          <w:p w:rsidR="00C02EBD" w:rsidRPr="009B5F04" w:rsidRDefault="00C02EBD" w:rsidP="00F86E3F">
            <w:pPr>
              <w:rPr>
                <w:sz w:val="18"/>
                <w:szCs w:val="18"/>
              </w:rPr>
            </w:pPr>
            <w:r w:rsidRPr="009B5F04">
              <w:rPr>
                <w:sz w:val="18"/>
                <w:szCs w:val="18"/>
              </w:rPr>
              <w:t>0.914</w:t>
            </w:r>
          </w:p>
        </w:tc>
        <w:tc>
          <w:tcPr>
            <w:tcW w:w="992" w:type="dxa"/>
            <w:vMerge w:val="restart"/>
            <w:tcBorders>
              <w:top w:val="single" w:sz="4" w:space="0" w:color="auto"/>
              <w:bottom w:val="nil"/>
            </w:tcBorders>
            <w:shd w:val="clear" w:color="auto" w:fill="auto"/>
            <w:vAlign w:val="center"/>
          </w:tcPr>
          <w:p w:rsidR="00C02EBD" w:rsidRPr="009B5F04" w:rsidRDefault="00C02EBD" w:rsidP="00F86E3F">
            <w:pPr>
              <w:jc w:val="center"/>
              <w:rPr>
                <w:sz w:val="18"/>
                <w:szCs w:val="18"/>
              </w:rPr>
            </w:pPr>
            <w:r w:rsidRPr="009B5F04">
              <w:rPr>
                <w:sz w:val="18"/>
                <w:szCs w:val="18"/>
              </w:rPr>
              <w:t>0.7268</w:t>
            </w:r>
          </w:p>
        </w:tc>
        <w:tc>
          <w:tcPr>
            <w:tcW w:w="1276" w:type="dxa"/>
            <w:vMerge w:val="restart"/>
            <w:tcBorders>
              <w:top w:val="single" w:sz="4" w:space="0" w:color="auto"/>
              <w:bottom w:val="nil"/>
            </w:tcBorders>
            <w:shd w:val="clear" w:color="auto" w:fill="auto"/>
            <w:vAlign w:val="center"/>
          </w:tcPr>
          <w:p w:rsidR="00C02EBD" w:rsidRPr="009B5F04" w:rsidRDefault="00C02EBD" w:rsidP="00F86E3F">
            <w:pPr>
              <w:jc w:val="center"/>
              <w:rPr>
                <w:sz w:val="18"/>
                <w:szCs w:val="18"/>
              </w:rPr>
            </w:pPr>
            <w:r w:rsidRPr="009B5F04">
              <w:rPr>
                <w:sz w:val="18"/>
                <w:szCs w:val="18"/>
              </w:rPr>
              <w:t>0.9300</w:t>
            </w:r>
          </w:p>
        </w:tc>
        <w:tc>
          <w:tcPr>
            <w:tcW w:w="1388" w:type="dxa"/>
            <w:vMerge w:val="restart"/>
            <w:tcBorders>
              <w:top w:val="single" w:sz="4" w:space="0" w:color="auto"/>
              <w:bottom w:val="nil"/>
            </w:tcBorders>
            <w:shd w:val="clear" w:color="auto" w:fill="auto"/>
            <w:vAlign w:val="center"/>
          </w:tcPr>
          <w:p w:rsidR="00C02EBD" w:rsidRPr="009B5F04" w:rsidRDefault="00C02EBD" w:rsidP="00F86E3F">
            <w:pPr>
              <w:jc w:val="center"/>
              <w:rPr>
                <w:sz w:val="18"/>
                <w:szCs w:val="18"/>
              </w:rPr>
            </w:pPr>
            <w:r w:rsidRPr="009B5F04">
              <w:rPr>
                <w:sz w:val="18"/>
                <w:szCs w:val="18"/>
              </w:rPr>
              <w:t>0.9058</w:t>
            </w:r>
          </w:p>
        </w:tc>
      </w:tr>
      <w:tr w:rsidR="00C02EBD" w:rsidRPr="009B5F04" w:rsidTr="00F86E3F">
        <w:trPr>
          <w:trHeight w:val="243"/>
          <w:jc w:val="center"/>
        </w:trPr>
        <w:tc>
          <w:tcPr>
            <w:tcW w:w="708" w:type="dxa"/>
            <w:vMerge/>
            <w:tcBorders>
              <w:top w:val="nil"/>
            </w:tcBorders>
            <w:shd w:val="clear" w:color="auto" w:fill="auto"/>
          </w:tcPr>
          <w:p w:rsidR="00C02EBD" w:rsidRPr="009B5F04" w:rsidRDefault="00C02EBD" w:rsidP="00F86E3F">
            <w:pPr>
              <w:rPr>
                <w:sz w:val="18"/>
                <w:szCs w:val="18"/>
              </w:rPr>
            </w:pPr>
          </w:p>
        </w:tc>
        <w:tc>
          <w:tcPr>
            <w:tcW w:w="3731" w:type="dxa"/>
            <w:tcBorders>
              <w:top w:val="nil"/>
            </w:tcBorders>
            <w:shd w:val="clear" w:color="auto" w:fill="auto"/>
          </w:tcPr>
          <w:p w:rsidR="00C02EBD" w:rsidRPr="003F5F4A" w:rsidRDefault="00C02EBD" w:rsidP="00F86E3F">
            <w:pPr>
              <w:rPr>
                <w:i/>
                <w:sz w:val="18"/>
                <w:szCs w:val="18"/>
              </w:rPr>
            </w:pPr>
            <w:r w:rsidRPr="003F5F4A">
              <w:rPr>
                <w:i/>
                <w:sz w:val="18"/>
                <w:szCs w:val="18"/>
              </w:rPr>
              <w:t>Waiting period to request repairs</w:t>
            </w:r>
          </w:p>
        </w:tc>
        <w:tc>
          <w:tcPr>
            <w:tcW w:w="918" w:type="dxa"/>
            <w:tcBorders>
              <w:top w:val="nil"/>
            </w:tcBorders>
            <w:shd w:val="clear" w:color="auto" w:fill="auto"/>
          </w:tcPr>
          <w:p w:rsidR="00C02EBD" w:rsidRPr="009B5F04" w:rsidRDefault="00C02EBD" w:rsidP="00F86E3F">
            <w:pPr>
              <w:rPr>
                <w:sz w:val="18"/>
                <w:szCs w:val="18"/>
              </w:rPr>
            </w:pPr>
            <w:r w:rsidRPr="009B5F04">
              <w:rPr>
                <w:sz w:val="18"/>
                <w:szCs w:val="18"/>
              </w:rPr>
              <w:t>0.862</w:t>
            </w:r>
          </w:p>
        </w:tc>
        <w:tc>
          <w:tcPr>
            <w:tcW w:w="992" w:type="dxa"/>
            <w:vMerge/>
            <w:tcBorders>
              <w:top w:val="nil"/>
            </w:tcBorders>
            <w:shd w:val="clear" w:color="auto" w:fill="auto"/>
          </w:tcPr>
          <w:p w:rsidR="00C02EBD" w:rsidRPr="009B5F04" w:rsidRDefault="00C02EBD" w:rsidP="00F86E3F">
            <w:pPr>
              <w:rPr>
                <w:sz w:val="18"/>
                <w:szCs w:val="18"/>
              </w:rPr>
            </w:pPr>
          </w:p>
        </w:tc>
        <w:tc>
          <w:tcPr>
            <w:tcW w:w="1276" w:type="dxa"/>
            <w:vMerge/>
            <w:tcBorders>
              <w:top w:val="nil"/>
            </w:tcBorders>
            <w:shd w:val="clear" w:color="auto" w:fill="auto"/>
          </w:tcPr>
          <w:p w:rsidR="00C02EBD" w:rsidRPr="009B5F04" w:rsidRDefault="00C02EBD" w:rsidP="00F86E3F">
            <w:pPr>
              <w:rPr>
                <w:sz w:val="18"/>
                <w:szCs w:val="18"/>
              </w:rPr>
            </w:pPr>
          </w:p>
        </w:tc>
        <w:tc>
          <w:tcPr>
            <w:tcW w:w="1388" w:type="dxa"/>
            <w:vMerge/>
            <w:tcBorders>
              <w:top w:val="nil"/>
            </w:tcBorders>
            <w:shd w:val="clear" w:color="auto" w:fill="auto"/>
          </w:tcPr>
          <w:p w:rsidR="00C02EBD" w:rsidRPr="009B5F04" w:rsidRDefault="00C02EBD" w:rsidP="00F86E3F">
            <w:pPr>
              <w:rPr>
                <w:sz w:val="18"/>
                <w:szCs w:val="18"/>
              </w:rPr>
            </w:pPr>
          </w:p>
        </w:tc>
      </w:tr>
      <w:tr w:rsidR="00C02EBD" w:rsidRPr="009B5F04" w:rsidTr="00F86E3F">
        <w:trPr>
          <w:trHeight w:val="227"/>
          <w:jc w:val="center"/>
        </w:trPr>
        <w:tc>
          <w:tcPr>
            <w:tcW w:w="708" w:type="dxa"/>
            <w:vMerge/>
            <w:shd w:val="clear" w:color="auto" w:fill="auto"/>
          </w:tcPr>
          <w:p w:rsidR="00C02EBD" w:rsidRPr="009B5F04" w:rsidRDefault="00C02EBD" w:rsidP="00F86E3F">
            <w:pP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Worth maintenance fee</w:t>
            </w:r>
          </w:p>
        </w:tc>
        <w:tc>
          <w:tcPr>
            <w:tcW w:w="918" w:type="dxa"/>
            <w:shd w:val="clear" w:color="auto" w:fill="auto"/>
          </w:tcPr>
          <w:p w:rsidR="00C02EBD" w:rsidRPr="009B5F04" w:rsidRDefault="00C02EBD" w:rsidP="00F86E3F">
            <w:pPr>
              <w:rPr>
                <w:sz w:val="18"/>
                <w:szCs w:val="18"/>
              </w:rPr>
            </w:pPr>
            <w:r w:rsidRPr="009B5F04">
              <w:rPr>
                <w:sz w:val="18"/>
                <w:szCs w:val="18"/>
              </w:rPr>
              <w:t>0.822</w:t>
            </w:r>
          </w:p>
        </w:tc>
        <w:tc>
          <w:tcPr>
            <w:tcW w:w="992" w:type="dxa"/>
            <w:vMerge/>
            <w:shd w:val="clear" w:color="auto" w:fill="auto"/>
          </w:tcPr>
          <w:p w:rsidR="00C02EBD" w:rsidRPr="009B5F04" w:rsidRDefault="00C02EBD" w:rsidP="00F86E3F">
            <w:pPr>
              <w:rPr>
                <w:sz w:val="18"/>
                <w:szCs w:val="18"/>
              </w:rPr>
            </w:pPr>
          </w:p>
        </w:tc>
        <w:tc>
          <w:tcPr>
            <w:tcW w:w="1276" w:type="dxa"/>
            <w:vMerge/>
            <w:shd w:val="clear" w:color="auto" w:fill="auto"/>
          </w:tcPr>
          <w:p w:rsidR="00C02EBD" w:rsidRPr="009B5F04" w:rsidRDefault="00C02EBD" w:rsidP="00F86E3F">
            <w:pPr>
              <w:rPr>
                <w:sz w:val="18"/>
                <w:szCs w:val="18"/>
              </w:rPr>
            </w:pPr>
          </w:p>
        </w:tc>
        <w:tc>
          <w:tcPr>
            <w:tcW w:w="1388" w:type="dxa"/>
            <w:vMerge/>
            <w:shd w:val="clear" w:color="auto" w:fill="auto"/>
          </w:tcPr>
          <w:p w:rsidR="00C02EBD" w:rsidRPr="009B5F04" w:rsidRDefault="00C02EBD" w:rsidP="00F86E3F">
            <w:pPr>
              <w:rPr>
                <w:sz w:val="18"/>
                <w:szCs w:val="18"/>
              </w:rPr>
            </w:pPr>
          </w:p>
        </w:tc>
      </w:tr>
      <w:tr w:rsidR="00C02EBD" w:rsidRPr="009B5F04" w:rsidTr="00F86E3F">
        <w:trPr>
          <w:trHeight w:val="243"/>
          <w:jc w:val="center"/>
        </w:trPr>
        <w:tc>
          <w:tcPr>
            <w:tcW w:w="708" w:type="dxa"/>
            <w:vMerge/>
            <w:shd w:val="clear" w:color="auto" w:fill="auto"/>
          </w:tcPr>
          <w:p w:rsidR="00C02EBD" w:rsidRPr="009B5F04" w:rsidRDefault="00C02EBD" w:rsidP="00F86E3F">
            <w:pP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Frequency of failure</w:t>
            </w:r>
          </w:p>
        </w:tc>
        <w:tc>
          <w:tcPr>
            <w:tcW w:w="918" w:type="dxa"/>
            <w:shd w:val="clear" w:color="auto" w:fill="auto"/>
          </w:tcPr>
          <w:p w:rsidR="00C02EBD" w:rsidRPr="009B5F04" w:rsidRDefault="00C02EBD" w:rsidP="00F86E3F">
            <w:pPr>
              <w:rPr>
                <w:sz w:val="18"/>
                <w:szCs w:val="18"/>
              </w:rPr>
            </w:pPr>
            <w:r w:rsidRPr="009B5F04">
              <w:rPr>
                <w:sz w:val="18"/>
                <w:szCs w:val="18"/>
              </w:rPr>
              <w:t>0.822</w:t>
            </w:r>
          </w:p>
        </w:tc>
        <w:tc>
          <w:tcPr>
            <w:tcW w:w="992" w:type="dxa"/>
            <w:vMerge/>
            <w:shd w:val="clear" w:color="auto" w:fill="auto"/>
          </w:tcPr>
          <w:p w:rsidR="00C02EBD" w:rsidRPr="009B5F04" w:rsidRDefault="00C02EBD" w:rsidP="00F86E3F">
            <w:pPr>
              <w:rPr>
                <w:sz w:val="18"/>
                <w:szCs w:val="18"/>
              </w:rPr>
            </w:pPr>
          </w:p>
        </w:tc>
        <w:tc>
          <w:tcPr>
            <w:tcW w:w="1276" w:type="dxa"/>
            <w:vMerge/>
            <w:shd w:val="clear" w:color="auto" w:fill="auto"/>
          </w:tcPr>
          <w:p w:rsidR="00C02EBD" w:rsidRPr="009B5F04" w:rsidRDefault="00C02EBD" w:rsidP="00F86E3F">
            <w:pPr>
              <w:rPr>
                <w:sz w:val="18"/>
                <w:szCs w:val="18"/>
              </w:rPr>
            </w:pPr>
          </w:p>
        </w:tc>
        <w:tc>
          <w:tcPr>
            <w:tcW w:w="1388" w:type="dxa"/>
            <w:vMerge/>
            <w:shd w:val="clear" w:color="auto" w:fill="auto"/>
          </w:tcPr>
          <w:p w:rsidR="00C02EBD" w:rsidRPr="009B5F04" w:rsidRDefault="00C02EBD" w:rsidP="00F86E3F">
            <w:pPr>
              <w:rPr>
                <w:sz w:val="18"/>
                <w:szCs w:val="18"/>
              </w:rPr>
            </w:pPr>
          </w:p>
        </w:tc>
      </w:tr>
      <w:tr w:rsidR="00C02EBD" w:rsidRPr="009B5F04" w:rsidTr="00F86E3F">
        <w:trPr>
          <w:trHeight w:val="227"/>
          <w:jc w:val="center"/>
        </w:trPr>
        <w:tc>
          <w:tcPr>
            <w:tcW w:w="708" w:type="dxa"/>
            <w:vMerge/>
            <w:shd w:val="clear" w:color="auto" w:fill="auto"/>
          </w:tcPr>
          <w:p w:rsidR="00C02EBD" w:rsidRPr="009B5F04" w:rsidRDefault="00C02EBD" w:rsidP="00F86E3F">
            <w:pP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Staff professionalism</w:t>
            </w:r>
          </w:p>
        </w:tc>
        <w:tc>
          <w:tcPr>
            <w:tcW w:w="918" w:type="dxa"/>
            <w:shd w:val="clear" w:color="auto" w:fill="auto"/>
          </w:tcPr>
          <w:p w:rsidR="00C02EBD" w:rsidRPr="009B5F04" w:rsidRDefault="00C02EBD" w:rsidP="00F86E3F">
            <w:pPr>
              <w:rPr>
                <w:sz w:val="18"/>
                <w:szCs w:val="18"/>
              </w:rPr>
            </w:pPr>
            <w:r w:rsidRPr="009B5F04">
              <w:rPr>
                <w:sz w:val="18"/>
                <w:szCs w:val="18"/>
              </w:rPr>
              <w:t>0.846</w:t>
            </w:r>
          </w:p>
        </w:tc>
        <w:tc>
          <w:tcPr>
            <w:tcW w:w="992" w:type="dxa"/>
            <w:vMerge/>
            <w:shd w:val="clear" w:color="auto" w:fill="auto"/>
          </w:tcPr>
          <w:p w:rsidR="00C02EBD" w:rsidRPr="009B5F04" w:rsidRDefault="00C02EBD" w:rsidP="00F86E3F">
            <w:pPr>
              <w:rPr>
                <w:sz w:val="18"/>
                <w:szCs w:val="18"/>
              </w:rPr>
            </w:pPr>
          </w:p>
        </w:tc>
        <w:tc>
          <w:tcPr>
            <w:tcW w:w="1276" w:type="dxa"/>
            <w:vMerge/>
            <w:shd w:val="clear" w:color="auto" w:fill="auto"/>
          </w:tcPr>
          <w:p w:rsidR="00C02EBD" w:rsidRPr="009B5F04" w:rsidRDefault="00C02EBD" w:rsidP="00F86E3F">
            <w:pPr>
              <w:rPr>
                <w:sz w:val="18"/>
                <w:szCs w:val="18"/>
              </w:rPr>
            </w:pPr>
          </w:p>
        </w:tc>
        <w:tc>
          <w:tcPr>
            <w:tcW w:w="1388" w:type="dxa"/>
            <w:vMerge/>
            <w:shd w:val="clear" w:color="auto" w:fill="auto"/>
          </w:tcPr>
          <w:p w:rsidR="00C02EBD" w:rsidRPr="009B5F04" w:rsidRDefault="00C02EBD" w:rsidP="00F86E3F">
            <w:pPr>
              <w:rPr>
                <w:sz w:val="18"/>
                <w:szCs w:val="18"/>
              </w:rPr>
            </w:pPr>
          </w:p>
        </w:tc>
      </w:tr>
      <w:tr w:rsidR="00C02EBD" w:rsidRPr="009B5F04" w:rsidTr="00F86E3F">
        <w:trPr>
          <w:trHeight w:val="227"/>
          <w:jc w:val="center"/>
        </w:trPr>
        <w:tc>
          <w:tcPr>
            <w:tcW w:w="708" w:type="dxa"/>
            <w:vMerge/>
            <w:shd w:val="clear" w:color="auto" w:fill="auto"/>
          </w:tcPr>
          <w:p w:rsidR="00C02EBD" w:rsidRPr="009B5F04" w:rsidRDefault="00C02EBD" w:rsidP="00F86E3F">
            <w:pPr>
              <w:rPr>
                <w:sz w:val="18"/>
                <w:szCs w:val="18"/>
              </w:rPr>
            </w:pPr>
          </w:p>
        </w:tc>
        <w:tc>
          <w:tcPr>
            <w:tcW w:w="3731" w:type="dxa"/>
            <w:shd w:val="clear" w:color="auto" w:fill="auto"/>
          </w:tcPr>
          <w:p w:rsidR="00C02EBD" w:rsidRPr="003F5F4A" w:rsidRDefault="00C02EBD" w:rsidP="00F86E3F">
            <w:pPr>
              <w:rPr>
                <w:i/>
                <w:sz w:val="18"/>
                <w:szCs w:val="18"/>
              </w:rPr>
            </w:pPr>
            <w:r w:rsidRPr="003F5F4A">
              <w:rPr>
                <w:i/>
                <w:sz w:val="18"/>
                <w:szCs w:val="18"/>
              </w:rPr>
              <w:t>Overall satisfaction</w:t>
            </w:r>
          </w:p>
        </w:tc>
        <w:tc>
          <w:tcPr>
            <w:tcW w:w="918" w:type="dxa"/>
            <w:shd w:val="clear" w:color="auto" w:fill="auto"/>
          </w:tcPr>
          <w:p w:rsidR="00C02EBD" w:rsidRPr="009B5F04" w:rsidRDefault="00C02EBD" w:rsidP="00F86E3F">
            <w:pPr>
              <w:rPr>
                <w:sz w:val="18"/>
                <w:szCs w:val="18"/>
              </w:rPr>
            </w:pPr>
            <w:r w:rsidRPr="009B5F04">
              <w:rPr>
                <w:sz w:val="18"/>
                <w:szCs w:val="18"/>
              </w:rPr>
              <w:t>0.819</w:t>
            </w:r>
          </w:p>
        </w:tc>
        <w:tc>
          <w:tcPr>
            <w:tcW w:w="992" w:type="dxa"/>
            <w:vMerge/>
            <w:shd w:val="clear" w:color="auto" w:fill="auto"/>
          </w:tcPr>
          <w:p w:rsidR="00C02EBD" w:rsidRPr="009B5F04" w:rsidRDefault="00C02EBD" w:rsidP="00F86E3F">
            <w:pPr>
              <w:rPr>
                <w:sz w:val="18"/>
                <w:szCs w:val="18"/>
              </w:rPr>
            </w:pPr>
          </w:p>
        </w:tc>
        <w:tc>
          <w:tcPr>
            <w:tcW w:w="1276" w:type="dxa"/>
            <w:vMerge/>
            <w:shd w:val="clear" w:color="auto" w:fill="auto"/>
          </w:tcPr>
          <w:p w:rsidR="00C02EBD" w:rsidRPr="009B5F04" w:rsidRDefault="00C02EBD" w:rsidP="00F86E3F">
            <w:pPr>
              <w:rPr>
                <w:sz w:val="18"/>
                <w:szCs w:val="18"/>
              </w:rPr>
            </w:pPr>
          </w:p>
        </w:tc>
        <w:tc>
          <w:tcPr>
            <w:tcW w:w="1388" w:type="dxa"/>
            <w:vMerge/>
            <w:shd w:val="clear" w:color="auto" w:fill="auto"/>
          </w:tcPr>
          <w:p w:rsidR="00C02EBD" w:rsidRPr="009B5F04" w:rsidRDefault="00C02EBD" w:rsidP="00F86E3F">
            <w:pPr>
              <w:rPr>
                <w:sz w:val="18"/>
                <w:szCs w:val="18"/>
              </w:rPr>
            </w:pPr>
          </w:p>
        </w:tc>
      </w:tr>
    </w:tbl>
    <w:p w:rsidR="00C02EBD" w:rsidRPr="00C02EBD" w:rsidRDefault="00C02EBD" w:rsidP="00C02EBD">
      <w:pPr>
        <w:pStyle w:val="Heading1"/>
        <w:jc w:val="center"/>
        <w:rPr>
          <w:b w:val="0"/>
          <w:lang w:val="en-GB"/>
        </w:rPr>
      </w:pPr>
    </w:p>
    <w:p w:rsidR="00C02EBD" w:rsidRPr="00C02EBD" w:rsidRDefault="00C02EBD" w:rsidP="00C02EBD">
      <w:pPr>
        <w:pStyle w:val="Heading1"/>
        <w:jc w:val="both"/>
        <w:rPr>
          <w:b w:val="0"/>
          <w:lang w:val="en-GB"/>
        </w:rPr>
      </w:pPr>
      <w:r w:rsidRPr="00C02EBD">
        <w:rPr>
          <w:b w:val="0"/>
          <w:lang w:val="en-GB"/>
        </w:rPr>
        <w:tab/>
      </w:r>
      <w:r w:rsidRPr="00C02EBD">
        <w:rPr>
          <w:b w:val="0"/>
          <w:lang w:val="en-GB"/>
        </w:rPr>
        <w:tab/>
      </w:r>
    </w:p>
    <w:p w:rsidR="00C02EBD" w:rsidRPr="00C02EBD" w:rsidRDefault="00C02EBD" w:rsidP="00C02EBD">
      <w:pPr>
        <w:pStyle w:val="Heading1"/>
        <w:jc w:val="both"/>
        <w:rPr>
          <w:b w:val="0"/>
          <w:lang w:val="en-GB"/>
        </w:rPr>
      </w:pPr>
    </w:p>
    <w:p w:rsidR="00C02EBD" w:rsidRPr="00C02EBD" w:rsidRDefault="00C02EBD" w:rsidP="00C02EBD">
      <w:pPr>
        <w:pStyle w:val="Heading1"/>
        <w:ind w:firstLine="615"/>
        <w:jc w:val="both"/>
        <w:rPr>
          <w:b w:val="0"/>
          <w:lang w:val="en-GB"/>
        </w:rPr>
      </w:pPr>
      <w:r w:rsidRPr="00C02EBD">
        <w:rPr>
          <w:b w:val="0"/>
          <w:lang w:val="en-GB"/>
        </w:rPr>
        <w:lastRenderedPageBreak/>
        <w:t xml:space="preserve">Internal consistency reliability </w:t>
      </w:r>
      <w:proofErr w:type="gramStart"/>
      <w:r w:rsidRPr="00C02EBD">
        <w:rPr>
          <w:b w:val="0"/>
          <w:lang w:val="en-GB"/>
        </w:rPr>
        <w:t>was assessed</w:t>
      </w:r>
      <w:proofErr w:type="gramEnd"/>
      <w:r w:rsidRPr="00C02EBD">
        <w:rPr>
          <w:b w:val="0"/>
          <w:lang w:val="en-GB"/>
        </w:rPr>
        <w:t xml:space="preserve"> using Composite Reliability values and Cronbach’s Alpha values. As indicated in Table 2, the composite reliability and the </w:t>
      </w:r>
      <w:proofErr w:type="spellStart"/>
      <w:r w:rsidRPr="00C02EBD">
        <w:rPr>
          <w:b w:val="0"/>
          <w:lang w:val="en-GB"/>
        </w:rPr>
        <w:t>cronbach’s</w:t>
      </w:r>
      <w:proofErr w:type="spellEnd"/>
      <w:r w:rsidRPr="00C02EBD">
        <w:rPr>
          <w:b w:val="0"/>
          <w:lang w:val="en-GB"/>
        </w:rPr>
        <w:t xml:space="preserve"> alpha value are all above 0.7. With the acceptable values, this study can conclude that the scales are reliable. Convergent validity (internal consistence) was assessed using the average variance extracted (AVE) measure and factor loading value. According to </w:t>
      </w:r>
      <w:proofErr w:type="spellStart"/>
      <w:r w:rsidRPr="00C02EBD">
        <w:rPr>
          <w:b w:val="0"/>
          <w:lang w:val="en-GB"/>
        </w:rPr>
        <w:t>Fornell</w:t>
      </w:r>
      <w:proofErr w:type="spellEnd"/>
      <w:r w:rsidRPr="00C02EBD">
        <w:rPr>
          <w:b w:val="0"/>
          <w:lang w:val="en-GB"/>
        </w:rPr>
        <w:t xml:space="preserve"> and </w:t>
      </w:r>
      <w:proofErr w:type="spellStart"/>
      <w:r w:rsidRPr="00C02EBD">
        <w:rPr>
          <w:b w:val="0"/>
          <w:lang w:val="en-GB"/>
        </w:rPr>
        <w:t>Lacker’s</w:t>
      </w:r>
      <w:proofErr w:type="spellEnd"/>
      <w:r w:rsidRPr="00C02EBD">
        <w:rPr>
          <w:b w:val="0"/>
          <w:lang w:val="en-GB"/>
        </w:rPr>
        <w:t xml:space="preserve"> (</w:t>
      </w:r>
      <w:proofErr w:type="gramStart"/>
      <w:r w:rsidRPr="00C02EBD">
        <w:rPr>
          <w:b w:val="0"/>
          <w:lang w:val="en-GB"/>
        </w:rPr>
        <w:t>1981)</w:t>
      </w:r>
      <w:proofErr w:type="gramEnd"/>
      <w:r w:rsidRPr="00C02EBD">
        <w:rPr>
          <w:b w:val="0"/>
          <w:lang w:val="en-GB"/>
        </w:rPr>
        <w:t xml:space="preserve"> the suggested benchmark should be 0.5. As can be noted in Table 2, all the item loadings and AVE values reached the recommended benchmark – implying that all items converged well on the construct they </w:t>
      </w:r>
      <w:proofErr w:type="gramStart"/>
      <w:r w:rsidRPr="00C02EBD">
        <w:rPr>
          <w:b w:val="0"/>
          <w:lang w:val="en-GB"/>
        </w:rPr>
        <w:t>were supposed</w:t>
      </w:r>
      <w:proofErr w:type="gramEnd"/>
      <w:r w:rsidRPr="00C02EBD">
        <w:rPr>
          <w:b w:val="0"/>
          <w:lang w:val="en-GB"/>
        </w:rPr>
        <w:t xml:space="preserve"> to measure and hence confirming the existence of convergent validity. To assess discriminant validity the correlation among latent variables should be less than 0.9, so that the latent variables are independent. The R2 value for the dependent variable is 0.091. This result as in Figure 1 reveal that, on the overall end user satisfaction explains about 9.1 % of end user characteristics. </w:t>
      </w:r>
    </w:p>
    <w:p w:rsidR="00C02EBD" w:rsidRPr="00C02EBD" w:rsidRDefault="00C02EBD" w:rsidP="00C02EBD">
      <w:pPr>
        <w:pStyle w:val="Heading1"/>
        <w:jc w:val="both"/>
        <w:rPr>
          <w:b w:val="0"/>
          <w:lang w:val="en-GB"/>
        </w:rPr>
      </w:pPr>
    </w:p>
    <w:p w:rsidR="00C02EBD" w:rsidRDefault="00C02EBD" w:rsidP="00C02EBD">
      <w:pPr>
        <w:pStyle w:val="Heading1"/>
        <w:jc w:val="center"/>
        <w:rPr>
          <w:b w:val="0"/>
          <w:lang w:val="en-GB"/>
        </w:rPr>
      </w:pPr>
      <w:r w:rsidRPr="005B756C">
        <w:rPr>
          <w:b w:val="0"/>
          <w:noProof/>
          <w:sz w:val="22"/>
          <w:szCs w:val="22"/>
          <w:lang w:val="ms-MY" w:eastAsia="ms-MY"/>
        </w:rPr>
        <w:drawing>
          <wp:inline distT="0" distB="0" distL="0" distR="0">
            <wp:extent cx="5814099"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08" t="6934" r="20120" b="26030"/>
                    <a:stretch>
                      <a:fillRect/>
                    </a:stretch>
                  </pic:blipFill>
                  <pic:spPr bwMode="auto">
                    <a:xfrm>
                      <a:off x="0" y="0"/>
                      <a:ext cx="5818096" cy="2821338"/>
                    </a:xfrm>
                    <a:prstGeom prst="rect">
                      <a:avLst/>
                    </a:prstGeom>
                    <a:noFill/>
                    <a:ln>
                      <a:noFill/>
                    </a:ln>
                  </pic:spPr>
                </pic:pic>
              </a:graphicData>
            </a:graphic>
          </wp:inline>
        </w:drawing>
      </w:r>
    </w:p>
    <w:p w:rsidR="00C02EBD" w:rsidRDefault="00C02EBD" w:rsidP="00525DAD">
      <w:pPr>
        <w:pStyle w:val="Heading1"/>
        <w:jc w:val="both"/>
        <w:rPr>
          <w:b w:val="0"/>
          <w:lang w:val="en-GB"/>
        </w:rPr>
      </w:pPr>
    </w:p>
    <w:p w:rsidR="00C02EBD" w:rsidRDefault="00C02EBD" w:rsidP="00C02EBD">
      <w:pPr>
        <w:pStyle w:val="Heading1"/>
        <w:jc w:val="center"/>
        <w:rPr>
          <w:b w:val="0"/>
          <w:lang w:val="en-GB"/>
        </w:rPr>
      </w:pPr>
      <w:r w:rsidRPr="00C02EBD">
        <w:rPr>
          <w:b w:val="0"/>
          <w:lang w:val="en-GB"/>
        </w:rPr>
        <w:t>Figure 1 Measurement and structural model result</w:t>
      </w:r>
    </w:p>
    <w:p w:rsidR="00C02EBD" w:rsidRDefault="00C02EBD" w:rsidP="00525DAD">
      <w:pPr>
        <w:pStyle w:val="Heading1"/>
        <w:jc w:val="both"/>
        <w:rPr>
          <w:b w:val="0"/>
          <w:lang w:val="en-GB"/>
        </w:rPr>
      </w:pPr>
    </w:p>
    <w:p w:rsidR="003711B6" w:rsidRPr="00391579" w:rsidRDefault="00391579" w:rsidP="003711B6">
      <w:pPr>
        <w:pStyle w:val="Heading1"/>
        <w:jc w:val="both"/>
      </w:pPr>
      <w:r>
        <w:t>CONCLUSIONS</w:t>
      </w:r>
    </w:p>
    <w:p w:rsidR="00804F84" w:rsidRDefault="00C02EBD" w:rsidP="00391579">
      <w:pPr>
        <w:pStyle w:val="Heading1"/>
        <w:jc w:val="both"/>
        <w:rPr>
          <w:b w:val="0"/>
        </w:rPr>
      </w:pPr>
      <w:r w:rsidRPr="00C02EBD">
        <w:rPr>
          <w:b w:val="0"/>
        </w:rPr>
        <w:t>The purpose of this study was to investigate the influence of the end user characteristics on their satisfaction towards maintenance services performance. Important to note that the study findings is the fact that end user characteristic has influence on maintenance services performance where overall end user satisfaction explains about 9.1 % of end user characteristics.</w:t>
      </w:r>
    </w:p>
    <w:p w:rsidR="00C02EBD" w:rsidRDefault="00C02EBD" w:rsidP="00391579">
      <w:pPr>
        <w:pStyle w:val="Heading1"/>
        <w:jc w:val="both"/>
        <w:rPr>
          <w:b w:val="0"/>
        </w:rPr>
      </w:pPr>
    </w:p>
    <w:p w:rsidR="00B8672F" w:rsidRDefault="00A8061F" w:rsidP="00B8672F">
      <w:pPr>
        <w:pStyle w:val="Heading1"/>
        <w:jc w:val="both"/>
      </w:pPr>
      <w:r>
        <w:t>ACKNOWLEDGEMENT</w:t>
      </w:r>
    </w:p>
    <w:p w:rsidR="008118C8" w:rsidRPr="00B8672F" w:rsidRDefault="00B8672F" w:rsidP="00B8672F">
      <w:pPr>
        <w:pStyle w:val="Heading1"/>
        <w:jc w:val="both"/>
        <w:rPr>
          <w:b w:val="0"/>
        </w:rPr>
      </w:pPr>
      <w:r w:rsidRPr="00B8672F">
        <w:rPr>
          <w:b w:val="0"/>
        </w:rPr>
        <w:t xml:space="preserve">The authors gratefully acknowledge the financial support of the University </w:t>
      </w:r>
      <w:proofErr w:type="gramStart"/>
      <w:r w:rsidRPr="00B8672F">
        <w:rPr>
          <w:b w:val="0"/>
        </w:rPr>
        <w:t>of</w:t>
      </w:r>
      <w:proofErr w:type="gramEnd"/>
      <w:r w:rsidRPr="00B8672F">
        <w:rPr>
          <w:b w:val="0"/>
        </w:rPr>
        <w:t xml:space="preserve"> Malaya Research Grant (UMRG), grant no. RP015D-15SUS established at the University of Malaya, Sustainability Science Research Cluster.</w:t>
      </w:r>
    </w:p>
    <w:p w:rsidR="00B8672F" w:rsidRPr="00B8672F" w:rsidRDefault="00B8672F" w:rsidP="00B8672F">
      <w:pPr>
        <w:pStyle w:val="Heading1"/>
        <w:jc w:val="both"/>
      </w:pPr>
    </w:p>
    <w:p w:rsidR="008118C8" w:rsidRDefault="002E6373" w:rsidP="00804F84">
      <w:pPr>
        <w:spacing w:before="1" w:line="183" w:lineRule="exact"/>
        <w:ind w:left="105"/>
        <w:rPr>
          <w:b/>
          <w:sz w:val="16"/>
        </w:rPr>
      </w:pPr>
      <w:r>
        <w:rPr>
          <w:b/>
          <w:sz w:val="16"/>
        </w:rPr>
        <w:t>References</w:t>
      </w:r>
    </w:p>
    <w:p w:rsidR="00BA1A59" w:rsidRDefault="00BA1A59" w:rsidP="00BA1A59">
      <w:pPr>
        <w:spacing w:before="1" w:line="183" w:lineRule="exact"/>
        <w:ind w:left="567" w:hanging="425"/>
        <w:rPr>
          <w:sz w:val="16"/>
          <w:lang w:val="en-GB"/>
        </w:rPr>
      </w:pPr>
      <w:bookmarkStart w:id="25" w:name="Mendeley_Bookmark_DyMDuTW3XK"/>
      <w:r w:rsidRPr="00BA1A59">
        <w:rPr>
          <w:sz w:val="16"/>
          <w:lang w:val="en-GB"/>
        </w:rPr>
        <w:t xml:space="preserve">Abdullah Sani, S. I., Mohammed, A. H., &amp; </w:t>
      </w:r>
      <w:proofErr w:type="spellStart"/>
      <w:r w:rsidRPr="00BA1A59">
        <w:rPr>
          <w:sz w:val="16"/>
          <w:lang w:val="en-GB"/>
        </w:rPr>
        <w:t>Misnan</w:t>
      </w:r>
      <w:proofErr w:type="spellEnd"/>
      <w:r w:rsidRPr="00BA1A59">
        <w:rPr>
          <w:sz w:val="16"/>
          <w:lang w:val="en-GB"/>
        </w:rPr>
        <w:t xml:space="preserve">, </w:t>
      </w:r>
      <w:proofErr w:type="spellStart"/>
      <w:r w:rsidRPr="00BA1A59">
        <w:rPr>
          <w:sz w:val="16"/>
          <w:lang w:val="en-GB"/>
        </w:rPr>
        <w:t>Mohd</w:t>
      </w:r>
      <w:proofErr w:type="spellEnd"/>
      <w:r w:rsidRPr="00BA1A59">
        <w:rPr>
          <w:sz w:val="16"/>
          <w:lang w:val="en-GB"/>
        </w:rPr>
        <w:t xml:space="preserve"> </w:t>
      </w:r>
      <w:proofErr w:type="spellStart"/>
      <w:r w:rsidRPr="00BA1A59">
        <w:rPr>
          <w:sz w:val="16"/>
          <w:lang w:val="en-GB"/>
        </w:rPr>
        <w:t>Saidin</w:t>
      </w:r>
      <w:proofErr w:type="spellEnd"/>
      <w:r w:rsidRPr="00BA1A59">
        <w:rPr>
          <w:sz w:val="16"/>
          <w:lang w:val="en-GB"/>
        </w:rPr>
        <w:t xml:space="preserve">, </w:t>
      </w:r>
      <w:proofErr w:type="spellStart"/>
      <w:r w:rsidRPr="00BA1A59">
        <w:rPr>
          <w:sz w:val="16"/>
          <w:lang w:val="en-GB"/>
        </w:rPr>
        <w:t>Awang</w:t>
      </w:r>
      <w:proofErr w:type="spellEnd"/>
      <w:r w:rsidRPr="00BA1A59">
        <w:rPr>
          <w:sz w:val="16"/>
          <w:lang w:val="en-GB"/>
        </w:rPr>
        <w:t xml:space="preserve">, M. (2012). Determinant Factors in Development of Maintenance Culture in Managing Public Asset and Facilities. </w:t>
      </w:r>
      <w:r w:rsidRPr="00BA1A59">
        <w:rPr>
          <w:i/>
          <w:sz w:val="16"/>
          <w:lang w:val="en-GB"/>
        </w:rPr>
        <w:t xml:space="preserve">Procedia - Social and </w:t>
      </w:r>
      <w:proofErr w:type="spellStart"/>
      <w:r w:rsidRPr="00BA1A59">
        <w:rPr>
          <w:i/>
          <w:sz w:val="16"/>
          <w:lang w:val="en-GB"/>
        </w:rPr>
        <w:t>Behavioral</w:t>
      </w:r>
      <w:proofErr w:type="spellEnd"/>
      <w:r w:rsidRPr="00BA1A59">
        <w:rPr>
          <w:i/>
          <w:sz w:val="16"/>
          <w:lang w:val="en-GB"/>
        </w:rPr>
        <w:t xml:space="preserve"> Sciences</w:t>
      </w:r>
      <w:r w:rsidRPr="00BA1A59">
        <w:rPr>
          <w:sz w:val="16"/>
          <w:lang w:val="en-GB"/>
        </w:rPr>
        <w:t xml:space="preserve">, </w:t>
      </w:r>
      <w:r w:rsidRPr="00BA1A59">
        <w:rPr>
          <w:i/>
          <w:sz w:val="16"/>
          <w:lang w:val="en-GB"/>
        </w:rPr>
        <w:t>65</w:t>
      </w:r>
      <w:r w:rsidRPr="00BA1A59">
        <w:rPr>
          <w:sz w:val="16"/>
          <w:lang w:val="en-GB"/>
        </w:rPr>
        <w:t>(</w:t>
      </w:r>
      <w:proofErr w:type="spellStart"/>
      <w:r w:rsidRPr="00BA1A59">
        <w:rPr>
          <w:sz w:val="16"/>
          <w:lang w:val="en-GB"/>
        </w:rPr>
        <w:t>ICIBSoS</w:t>
      </w:r>
      <w:proofErr w:type="spellEnd"/>
      <w:r w:rsidRPr="00BA1A59">
        <w:rPr>
          <w:sz w:val="16"/>
          <w:lang w:val="en-GB"/>
        </w:rPr>
        <w:t>), 827–832.</w:t>
      </w:r>
    </w:p>
    <w:p w:rsidR="00BA1A59" w:rsidRPr="00BA1A59" w:rsidRDefault="00BA1A59" w:rsidP="00BA1A59">
      <w:pPr>
        <w:spacing w:before="1" w:line="183" w:lineRule="exact"/>
        <w:ind w:left="567" w:hanging="425"/>
        <w:rPr>
          <w:sz w:val="16"/>
          <w:lang w:val="en-GB"/>
        </w:rPr>
      </w:pPr>
      <w:r w:rsidRPr="00BA1A59">
        <w:rPr>
          <w:sz w:val="16"/>
          <w:lang w:val="en-GB"/>
        </w:rPr>
        <w:t>Al-</w:t>
      </w:r>
      <w:proofErr w:type="spellStart"/>
      <w:r w:rsidRPr="00BA1A59">
        <w:rPr>
          <w:sz w:val="16"/>
          <w:lang w:val="en-GB"/>
        </w:rPr>
        <w:t>Arjani</w:t>
      </w:r>
      <w:proofErr w:type="spellEnd"/>
      <w:r w:rsidRPr="00BA1A59">
        <w:rPr>
          <w:sz w:val="16"/>
          <w:lang w:val="en-GB"/>
        </w:rPr>
        <w:t xml:space="preserve">, A. H. (1995). </w:t>
      </w:r>
      <w:proofErr w:type="gramStart"/>
      <w:r w:rsidRPr="00BA1A59">
        <w:rPr>
          <w:sz w:val="16"/>
          <w:lang w:val="en-GB"/>
        </w:rPr>
        <w:t>Impact of cultural issues on the scheduling of housing maintenance in a Saudi Arabian urban project.</w:t>
      </w:r>
      <w:proofErr w:type="gramEnd"/>
      <w:r w:rsidRPr="00BA1A59">
        <w:rPr>
          <w:sz w:val="16"/>
          <w:lang w:val="en-GB"/>
        </w:rPr>
        <w:t xml:space="preserve"> </w:t>
      </w:r>
      <w:r w:rsidRPr="00BA1A59">
        <w:rPr>
          <w:i/>
          <w:iCs/>
          <w:sz w:val="16"/>
          <w:lang w:val="en-GB"/>
        </w:rPr>
        <w:t>International Journal of Project Management</w:t>
      </w:r>
      <w:r w:rsidRPr="00BA1A59">
        <w:rPr>
          <w:sz w:val="16"/>
          <w:lang w:val="en-GB"/>
        </w:rPr>
        <w:t xml:space="preserve">, </w:t>
      </w:r>
      <w:r w:rsidRPr="00BA1A59">
        <w:rPr>
          <w:i/>
          <w:iCs/>
          <w:sz w:val="16"/>
          <w:lang w:val="en-GB"/>
        </w:rPr>
        <w:t>13</w:t>
      </w:r>
      <w:r w:rsidRPr="00BA1A59">
        <w:rPr>
          <w:sz w:val="16"/>
          <w:lang w:val="en-GB"/>
        </w:rPr>
        <w:t>(6), 373-382.</w:t>
      </w:r>
    </w:p>
    <w:p w:rsidR="00BA1A59" w:rsidRPr="00BA1A59" w:rsidRDefault="00BA1A59" w:rsidP="00BA1A59">
      <w:pPr>
        <w:spacing w:before="1" w:line="183" w:lineRule="exact"/>
        <w:ind w:left="567" w:hanging="425"/>
        <w:rPr>
          <w:sz w:val="16"/>
          <w:lang w:val="en-GB"/>
        </w:rPr>
      </w:pPr>
      <w:proofErr w:type="gramStart"/>
      <w:r w:rsidRPr="00BA1A59">
        <w:rPr>
          <w:sz w:val="16"/>
          <w:lang w:val="en-GB"/>
        </w:rPr>
        <w:t xml:space="preserve">Ali, A. S., </w:t>
      </w:r>
      <w:proofErr w:type="spellStart"/>
      <w:r w:rsidRPr="00BA1A59">
        <w:rPr>
          <w:sz w:val="16"/>
          <w:lang w:val="en-GB"/>
        </w:rPr>
        <w:t>Kamaruzzaman</w:t>
      </w:r>
      <w:proofErr w:type="spellEnd"/>
      <w:r w:rsidRPr="00BA1A59">
        <w:rPr>
          <w:sz w:val="16"/>
          <w:lang w:val="en-GB"/>
        </w:rPr>
        <w:t xml:space="preserve">, S. N., </w:t>
      </w:r>
      <w:proofErr w:type="spellStart"/>
      <w:r w:rsidRPr="00BA1A59">
        <w:rPr>
          <w:sz w:val="16"/>
          <w:lang w:val="en-GB"/>
        </w:rPr>
        <w:t>Sulaiman</w:t>
      </w:r>
      <w:proofErr w:type="spellEnd"/>
      <w:r w:rsidRPr="00BA1A59">
        <w:rPr>
          <w:sz w:val="16"/>
          <w:lang w:val="en-GB"/>
        </w:rPr>
        <w:t>, R., &amp; Cheong Peng, Y. (2010).</w:t>
      </w:r>
      <w:proofErr w:type="gramEnd"/>
      <w:r w:rsidRPr="00BA1A59">
        <w:rPr>
          <w:sz w:val="16"/>
          <w:lang w:val="en-GB"/>
        </w:rPr>
        <w:t xml:space="preserve"> Factors affecting housing maintenance cost in Malaysia. </w:t>
      </w:r>
      <w:r w:rsidRPr="00BA1A59">
        <w:rPr>
          <w:i/>
          <w:sz w:val="16"/>
          <w:lang w:val="en-GB"/>
        </w:rPr>
        <w:t>Journal of Facilities Management</w:t>
      </w:r>
      <w:r w:rsidRPr="00BA1A59">
        <w:rPr>
          <w:sz w:val="16"/>
          <w:lang w:val="en-GB"/>
        </w:rPr>
        <w:t xml:space="preserve">, </w:t>
      </w:r>
      <w:r w:rsidRPr="00BA1A59">
        <w:rPr>
          <w:i/>
          <w:sz w:val="16"/>
          <w:lang w:val="en-GB"/>
        </w:rPr>
        <w:t>8</w:t>
      </w:r>
      <w:r w:rsidRPr="00BA1A59">
        <w:rPr>
          <w:sz w:val="16"/>
          <w:lang w:val="en-GB"/>
        </w:rPr>
        <w:t>(4), 285–298.</w:t>
      </w:r>
    </w:p>
    <w:p w:rsidR="00BA1A59" w:rsidRPr="00BA1A59" w:rsidRDefault="00BA1A59" w:rsidP="00BA1A59">
      <w:pPr>
        <w:spacing w:before="1" w:line="183" w:lineRule="exact"/>
        <w:ind w:left="567" w:hanging="425"/>
        <w:rPr>
          <w:sz w:val="16"/>
          <w:lang w:val="en-GB"/>
        </w:rPr>
      </w:pPr>
      <w:proofErr w:type="gramStart"/>
      <w:r w:rsidRPr="00BA1A59">
        <w:rPr>
          <w:sz w:val="16"/>
          <w:lang w:val="en-GB"/>
        </w:rPr>
        <w:t>Blessing, O., Richard, J., &amp; Emmanuel, A. (2015).</w:t>
      </w:r>
      <w:proofErr w:type="gramEnd"/>
      <w:r w:rsidRPr="00BA1A59">
        <w:rPr>
          <w:sz w:val="16"/>
          <w:lang w:val="en-GB"/>
        </w:rPr>
        <w:t xml:space="preserve"> Assessment of building maintenance management practices of higher education institutions in Niger State–Nigeria. </w:t>
      </w:r>
      <w:proofErr w:type="gramStart"/>
      <w:r w:rsidRPr="00BA1A59">
        <w:rPr>
          <w:i/>
          <w:iCs/>
          <w:sz w:val="16"/>
          <w:lang w:val="en-GB"/>
        </w:rPr>
        <w:t>Journal of Design and Built Environment</w:t>
      </w:r>
      <w:r w:rsidRPr="00BA1A59">
        <w:rPr>
          <w:sz w:val="16"/>
          <w:lang w:val="en-GB"/>
        </w:rPr>
        <w:t xml:space="preserve">, </w:t>
      </w:r>
      <w:r w:rsidRPr="00BA1A59">
        <w:rPr>
          <w:i/>
          <w:iCs/>
          <w:sz w:val="16"/>
          <w:lang w:val="en-GB"/>
        </w:rPr>
        <w:t>15</w:t>
      </w:r>
      <w:r w:rsidRPr="00BA1A59">
        <w:rPr>
          <w:sz w:val="16"/>
          <w:lang w:val="en-GB"/>
        </w:rPr>
        <w:t>(2).</w:t>
      </w:r>
      <w:proofErr w:type="gramEnd"/>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Cagamas</w:t>
      </w:r>
      <w:proofErr w:type="spellEnd"/>
      <w:r w:rsidRPr="00BA1A59">
        <w:rPr>
          <w:sz w:val="16"/>
          <w:lang w:val="en-GB"/>
        </w:rPr>
        <w:t xml:space="preserve"> Holdings.</w:t>
      </w:r>
      <w:proofErr w:type="gramEnd"/>
      <w:r w:rsidRPr="00BA1A59">
        <w:rPr>
          <w:sz w:val="16"/>
          <w:lang w:val="en-GB"/>
        </w:rPr>
        <w:t xml:space="preserve"> (2013). </w:t>
      </w:r>
      <w:r w:rsidRPr="00BA1A59">
        <w:rPr>
          <w:i/>
          <w:sz w:val="16"/>
          <w:lang w:val="en-GB"/>
        </w:rPr>
        <w:t>Housing the Nation: Policies, Issues and Prospects</w:t>
      </w:r>
      <w:r w:rsidRPr="00BA1A59">
        <w:rPr>
          <w:sz w:val="16"/>
          <w:lang w:val="en-GB"/>
        </w:rPr>
        <w:t xml:space="preserve">. </w:t>
      </w:r>
      <w:proofErr w:type="gramStart"/>
      <w:r w:rsidRPr="00BA1A59">
        <w:rPr>
          <w:i/>
          <w:sz w:val="16"/>
          <w:lang w:val="en-GB"/>
        </w:rPr>
        <w:t>Housing the Nation: Policies, Issues and Prospects</w:t>
      </w:r>
      <w:r w:rsidRPr="00BA1A59">
        <w:rPr>
          <w:sz w:val="16"/>
          <w:lang w:val="en-GB"/>
        </w:rPr>
        <w:t>.</w:t>
      </w:r>
      <w:proofErr w:type="gramEnd"/>
      <w:r w:rsidRPr="00BA1A59">
        <w:rPr>
          <w:sz w:val="16"/>
          <w:lang w:val="en-GB"/>
        </w:rPr>
        <w:t xml:space="preserve"> </w:t>
      </w:r>
      <w:proofErr w:type="spellStart"/>
      <w:proofErr w:type="gramStart"/>
      <w:r w:rsidRPr="00BA1A59">
        <w:rPr>
          <w:sz w:val="16"/>
          <w:lang w:val="en-GB"/>
        </w:rPr>
        <w:t>Cagamas</w:t>
      </w:r>
      <w:proofErr w:type="spellEnd"/>
      <w:r w:rsidRPr="00BA1A59">
        <w:rPr>
          <w:sz w:val="16"/>
          <w:lang w:val="en-GB"/>
        </w:rPr>
        <w:t xml:space="preserve"> Holdings.</w:t>
      </w:r>
      <w:proofErr w:type="gramEnd"/>
    </w:p>
    <w:p w:rsidR="00BA1A59" w:rsidRPr="00BA1A59" w:rsidRDefault="00BA1A59" w:rsidP="00BA1A59">
      <w:pPr>
        <w:spacing w:before="1" w:line="183" w:lineRule="exact"/>
        <w:ind w:left="567" w:hanging="425"/>
        <w:rPr>
          <w:sz w:val="16"/>
          <w:lang w:val="en-GB"/>
        </w:rPr>
      </w:pPr>
      <w:proofErr w:type="gramStart"/>
      <w:r w:rsidRPr="00BA1A59">
        <w:rPr>
          <w:sz w:val="16"/>
          <w:lang w:val="en-GB"/>
        </w:rPr>
        <w:t xml:space="preserve">Campbell, F. L., </w:t>
      </w:r>
      <w:proofErr w:type="spellStart"/>
      <w:r w:rsidRPr="00BA1A59">
        <w:rPr>
          <w:sz w:val="16"/>
          <w:lang w:val="en-GB"/>
        </w:rPr>
        <w:t>Hendee</w:t>
      </w:r>
      <w:proofErr w:type="spellEnd"/>
      <w:r w:rsidRPr="00BA1A59">
        <w:rPr>
          <w:sz w:val="16"/>
          <w:lang w:val="en-GB"/>
        </w:rPr>
        <w:t>, J. C., &amp; Clark, R. N. (1968).</w:t>
      </w:r>
      <w:proofErr w:type="gramEnd"/>
      <w:r w:rsidRPr="00BA1A59">
        <w:rPr>
          <w:sz w:val="16"/>
          <w:lang w:val="en-GB"/>
        </w:rPr>
        <w:t xml:space="preserve"> Law and order in public parks. </w:t>
      </w:r>
      <w:r w:rsidRPr="00BA1A59">
        <w:rPr>
          <w:i/>
          <w:iCs/>
          <w:sz w:val="16"/>
          <w:lang w:val="en-GB"/>
        </w:rPr>
        <w:t>Parks and Recreation</w:t>
      </w:r>
      <w:r w:rsidRPr="00BA1A59">
        <w:rPr>
          <w:sz w:val="16"/>
          <w:lang w:val="en-GB"/>
        </w:rPr>
        <w:t xml:space="preserve">, </w:t>
      </w:r>
      <w:r w:rsidRPr="00BA1A59">
        <w:rPr>
          <w:i/>
          <w:iCs/>
          <w:sz w:val="16"/>
          <w:lang w:val="en-GB"/>
        </w:rPr>
        <w:t>3</w:t>
      </w:r>
      <w:r w:rsidRPr="00BA1A59">
        <w:rPr>
          <w:sz w:val="16"/>
          <w:lang w:val="en-GB"/>
        </w:rPr>
        <w:t>(12), 28-31.</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Chinomona</w:t>
      </w:r>
      <w:proofErr w:type="spellEnd"/>
      <w:r w:rsidRPr="00BA1A59">
        <w:rPr>
          <w:sz w:val="16"/>
          <w:lang w:val="en-GB"/>
        </w:rPr>
        <w:t xml:space="preserve">, R., &amp; </w:t>
      </w:r>
      <w:proofErr w:type="spellStart"/>
      <w:r w:rsidRPr="00BA1A59">
        <w:rPr>
          <w:sz w:val="16"/>
          <w:lang w:val="en-GB"/>
        </w:rPr>
        <w:t>Sandada</w:t>
      </w:r>
      <w:proofErr w:type="spellEnd"/>
      <w:r w:rsidRPr="00BA1A59">
        <w:rPr>
          <w:sz w:val="16"/>
          <w:lang w:val="en-GB"/>
        </w:rPr>
        <w:t>, M. (2013).</w:t>
      </w:r>
      <w:proofErr w:type="gramEnd"/>
      <w:r w:rsidRPr="00BA1A59">
        <w:rPr>
          <w:sz w:val="16"/>
          <w:lang w:val="en-GB"/>
        </w:rPr>
        <w:t xml:space="preserve"> </w:t>
      </w:r>
      <w:proofErr w:type="gramStart"/>
      <w:r w:rsidRPr="00BA1A59">
        <w:rPr>
          <w:sz w:val="16"/>
          <w:lang w:val="en-GB"/>
        </w:rPr>
        <w:t>Customer Satisfaction, Trust and Loyalty as Predictors of Customer Intention to Re-Purchase South African Retailing Industry.</w:t>
      </w:r>
      <w:proofErr w:type="gramEnd"/>
      <w:r w:rsidRPr="00BA1A59">
        <w:rPr>
          <w:sz w:val="16"/>
          <w:lang w:val="en-GB"/>
        </w:rPr>
        <w:t xml:space="preserve"> </w:t>
      </w:r>
      <w:r w:rsidRPr="00BA1A59">
        <w:rPr>
          <w:i/>
          <w:sz w:val="16"/>
          <w:lang w:val="en-GB"/>
        </w:rPr>
        <w:t>Mediterranean Journal of Social Sciences</w:t>
      </w:r>
      <w:r w:rsidRPr="00BA1A59">
        <w:rPr>
          <w:sz w:val="16"/>
          <w:lang w:val="en-GB"/>
        </w:rPr>
        <w:t xml:space="preserve">, </w:t>
      </w:r>
      <w:r w:rsidRPr="00BA1A59">
        <w:rPr>
          <w:i/>
          <w:sz w:val="16"/>
          <w:lang w:val="en-GB"/>
        </w:rPr>
        <w:t>4</w:t>
      </w:r>
      <w:r w:rsidRPr="00BA1A59">
        <w:rPr>
          <w:sz w:val="16"/>
          <w:lang w:val="en-GB"/>
        </w:rPr>
        <w:t>(14), 437–446.</w:t>
      </w:r>
    </w:p>
    <w:p w:rsidR="00BA1A59" w:rsidRPr="00BA1A59" w:rsidRDefault="00BA1A59" w:rsidP="00BA1A59">
      <w:pPr>
        <w:spacing w:before="1" w:line="183" w:lineRule="exact"/>
        <w:ind w:left="567" w:hanging="425"/>
        <w:rPr>
          <w:sz w:val="16"/>
          <w:lang w:val="en-GB"/>
        </w:rPr>
      </w:pPr>
      <w:proofErr w:type="gramStart"/>
      <w:r w:rsidRPr="00BA1A59">
        <w:rPr>
          <w:sz w:val="16"/>
          <w:lang w:val="en-GB"/>
        </w:rPr>
        <w:t>Christensen, H. H., Johnson, D. R., &amp; Brookes, M. H. (1992).</w:t>
      </w:r>
      <w:proofErr w:type="gramEnd"/>
      <w:r w:rsidRPr="00BA1A59">
        <w:rPr>
          <w:sz w:val="16"/>
          <w:lang w:val="en-GB"/>
        </w:rPr>
        <w:t xml:space="preserve"> Vandalism : </w:t>
      </w:r>
      <w:proofErr w:type="gramStart"/>
      <w:r w:rsidRPr="00BA1A59">
        <w:rPr>
          <w:sz w:val="16"/>
          <w:lang w:val="en-GB"/>
        </w:rPr>
        <w:t>Research ,</w:t>
      </w:r>
      <w:proofErr w:type="gramEnd"/>
      <w:r w:rsidRPr="00BA1A59">
        <w:rPr>
          <w:sz w:val="16"/>
          <w:lang w:val="en-GB"/>
        </w:rPr>
        <w:t xml:space="preserve"> Prevention and Social Policy. </w:t>
      </w:r>
      <w:proofErr w:type="gramStart"/>
      <w:r w:rsidRPr="00BA1A59">
        <w:rPr>
          <w:i/>
          <w:sz w:val="16"/>
          <w:lang w:val="en-GB"/>
        </w:rPr>
        <w:t>Prevention</w:t>
      </w:r>
      <w:r w:rsidRPr="00BA1A59">
        <w:rPr>
          <w:sz w:val="16"/>
          <w:lang w:val="en-GB"/>
        </w:rPr>
        <w:t>, (November), 290.</w:t>
      </w:r>
      <w:proofErr w:type="gramEnd"/>
    </w:p>
    <w:p w:rsidR="00BA1A59" w:rsidRPr="00BA1A59" w:rsidRDefault="00BA1A59" w:rsidP="00BA1A59">
      <w:pPr>
        <w:spacing w:before="1" w:line="183" w:lineRule="exact"/>
        <w:ind w:left="567" w:hanging="425"/>
        <w:rPr>
          <w:sz w:val="16"/>
          <w:lang w:val="en-GB"/>
        </w:rPr>
      </w:pPr>
      <w:r w:rsidRPr="00BA1A59">
        <w:rPr>
          <w:sz w:val="16"/>
          <w:lang w:val="en-GB"/>
        </w:rPr>
        <w:t xml:space="preserve">Douglas, J. (1996). </w:t>
      </w:r>
      <w:proofErr w:type="gramStart"/>
      <w:r w:rsidRPr="00BA1A59">
        <w:rPr>
          <w:sz w:val="16"/>
          <w:lang w:val="en-GB"/>
        </w:rPr>
        <w:t>Building performance and its relevance to facilities management.</w:t>
      </w:r>
      <w:proofErr w:type="gramEnd"/>
      <w:r w:rsidRPr="00BA1A59">
        <w:rPr>
          <w:sz w:val="16"/>
          <w:lang w:val="en-GB"/>
        </w:rPr>
        <w:t xml:space="preserve"> </w:t>
      </w:r>
      <w:r w:rsidRPr="00BA1A59">
        <w:rPr>
          <w:i/>
          <w:sz w:val="16"/>
          <w:lang w:val="en-GB"/>
        </w:rPr>
        <w:t>Facilities</w:t>
      </w:r>
      <w:r w:rsidRPr="00BA1A59">
        <w:rPr>
          <w:sz w:val="16"/>
          <w:lang w:val="en-GB"/>
        </w:rPr>
        <w:t xml:space="preserve">, </w:t>
      </w:r>
      <w:r w:rsidRPr="00BA1A59">
        <w:rPr>
          <w:i/>
          <w:sz w:val="16"/>
          <w:lang w:val="en-GB"/>
        </w:rPr>
        <w:t>14</w:t>
      </w:r>
      <w:r w:rsidRPr="00BA1A59">
        <w:rPr>
          <w:sz w:val="16"/>
          <w:lang w:val="en-GB"/>
        </w:rPr>
        <w:t>(3/4), 23–32. https://doi.org/10.1108/02632779610112508</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lastRenderedPageBreak/>
        <w:t>Fakhrudin</w:t>
      </w:r>
      <w:proofErr w:type="spellEnd"/>
      <w:r w:rsidRPr="00BA1A59">
        <w:rPr>
          <w:sz w:val="16"/>
          <w:lang w:val="en-GB"/>
        </w:rPr>
        <w:t xml:space="preserve">, I. H., Suleiman, M. Z., &amp; </w:t>
      </w:r>
      <w:proofErr w:type="spellStart"/>
      <w:r w:rsidRPr="00BA1A59">
        <w:rPr>
          <w:sz w:val="16"/>
          <w:lang w:val="en-GB"/>
        </w:rPr>
        <w:t>Talib</w:t>
      </w:r>
      <w:proofErr w:type="spellEnd"/>
      <w:r w:rsidRPr="00BA1A59">
        <w:rPr>
          <w:sz w:val="16"/>
          <w:lang w:val="en-GB"/>
        </w:rPr>
        <w:t>, R. (2011).</w:t>
      </w:r>
      <w:proofErr w:type="gramEnd"/>
      <w:r w:rsidRPr="00BA1A59">
        <w:rPr>
          <w:sz w:val="16"/>
          <w:lang w:val="en-GB"/>
        </w:rPr>
        <w:t xml:space="preserve"> </w:t>
      </w:r>
      <w:proofErr w:type="gramStart"/>
      <w:r w:rsidRPr="00BA1A59">
        <w:rPr>
          <w:sz w:val="16"/>
          <w:lang w:val="en-GB"/>
        </w:rPr>
        <w:t>The need to implement Malaysia’s Building and Common Property Act 2007 (Act 663) in building maintenance management.</w:t>
      </w:r>
      <w:proofErr w:type="gramEnd"/>
      <w:r w:rsidRPr="00BA1A59">
        <w:rPr>
          <w:sz w:val="16"/>
          <w:lang w:val="en-GB"/>
        </w:rPr>
        <w:t xml:space="preserve"> </w:t>
      </w:r>
      <w:r w:rsidRPr="00BA1A59">
        <w:rPr>
          <w:i/>
          <w:sz w:val="16"/>
          <w:lang w:val="en-GB"/>
        </w:rPr>
        <w:t>Journal of Facilities Management</w:t>
      </w:r>
      <w:r w:rsidRPr="00BA1A59">
        <w:rPr>
          <w:sz w:val="16"/>
          <w:lang w:val="en-GB"/>
        </w:rPr>
        <w:t xml:space="preserve">, </w:t>
      </w:r>
      <w:r w:rsidRPr="00BA1A59">
        <w:rPr>
          <w:i/>
          <w:sz w:val="16"/>
          <w:lang w:val="en-GB"/>
        </w:rPr>
        <w:t>9</w:t>
      </w:r>
      <w:r w:rsidRPr="00BA1A59">
        <w:rPr>
          <w:sz w:val="16"/>
          <w:lang w:val="en-GB"/>
        </w:rPr>
        <w:t>(3), 170–180.</w:t>
      </w:r>
    </w:p>
    <w:p w:rsidR="00BA1A59" w:rsidRPr="00BA1A59" w:rsidRDefault="00BA1A59" w:rsidP="00BA1A59">
      <w:pPr>
        <w:spacing w:before="1" w:line="183" w:lineRule="exact"/>
        <w:ind w:left="567" w:hanging="425"/>
        <w:rPr>
          <w:sz w:val="16"/>
          <w:lang w:val="en-GB"/>
        </w:rPr>
      </w:pPr>
      <w:r w:rsidRPr="00BA1A59">
        <w:rPr>
          <w:sz w:val="16"/>
          <w:lang w:val="en-GB"/>
        </w:rPr>
        <w:t xml:space="preserve">Hui, E. Y. Y. (2005). Key success factors of building management in large and dense residential estates. </w:t>
      </w:r>
      <w:r w:rsidRPr="00BA1A59">
        <w:rPr>
          <w:i/>
          <w:sz w:val="16"/>
          <w:lang w:val="en-GB"/>
        </w:rPr>
        <w:t>Facilities</w:t>
      </w:r>
      <w:r w:rsidRPr="00BA1A59">
        <w:rPr>
          <w:sz w:val="16"/>
          <w:lang w:val="en-GB"/>
        </w:rPr>
        <w:t xml:space="preserve">, </w:t>
      </w:r>
      <w:r w:rsidRPr="00BA1A59">
        <w:rPr>
          <w:i/>
          <w:sz w:val="16"/>
          <w:lang w:val="en-GB"/>
        </w:rPr>
        <w:t>23</w:t>
      </w:r>
      <w:r w:rsidRPr="00BA1A59">
        <w:rPr>
          <w:sz w:val="16"/>
          <w:lang w:val="en-GB"/>
        </w:rPr>
        <w:t>(1/2), 47–62.</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Ibem</w:t>
      </w:r>
      <w:proofErr w:type="spellEnd"/>
      <w:r w:rsidRPr="00BA1A59">
        <w:rPr>
          <w:sz w:val="16"/>
          <w:lang w:val="en-GB"/>
        </w:rPr>
        <w:t xml:space="preserve">, E. O., </w:t>
      </w:r>
      <w:proofErr w:type="spellStart"/>
      <w:r w:rsidRPr="00BA1A59">
        <w:rPr>
          <w:sz w:val="16"/>
          <w:lang w:val="en-GB"/>
        </w:rPr>
        <w:t>Opoko</w:t>
      </w:r>
      <w:proofErr w:type="spellEnd"/>
      <w:r w:rsidRPr="00BA1A59">
        <w:rPr>
          <w:sz w:val="16"/>
          <w:lang w:val="en-GB"/>
        </w:rPr>
        <w:t xml:space="preserve">, A. P., </w:t>
      </w:r>
      <w:proofErr w:type="spellStart"/>
      <w:r w:rsidRPr="00BA1A59">
        <w:rPr>
          <w:sz w:val="16"/>
          <w:lang w:val="en-GB"/>
        </w:rPr>
        <w:t>Adeboye</w:t>
      </w:r>
      <w:proofErr w:type="spellEnd"/>
      <w:r w:rsidRPr="00BA1A59">
        <w:rPr>
          <w:sz w:val="16"/>
          <w:lang w:val="en-GB"/>
        </w:rPr>
        <w:t>, A. B., &amp; Amole, D. (2013).</w:t>
      </w:r>
      <w:proofErr w:type="gramEnd"/>
      <w:r w:rsidRPr="00BA1A59">
        <w:rPr>
          <w:sz w:val="16"/>
          <w:lang w:val="en-GB"/>
        </w:rPr>
        <w:t xml:space="preserve"> </w:t>
      </w:r>
      <w:proofErr w:type="gramStart"/>
      <w:r w:rsidRPr="00BA1A59">
        <w:rPr>
          <w:sz w:val="16"/>
          <w:lang w:val="en-GB"/>
        </w:rPr>
        <w:t>Performance evaluation of residential buildings in public housing estates in Ogun State, Nigeria: Users’ satisfaction perspective.</w:t>
      </w:r>
      <w:proofErr w:type="gramEnd"/>
      <w:r w:rsidRPr="00BA1A59">
        <w:rPr>
          <w:sz w:val="16"/>
          <w:lang w:val="en-GB"/>
        </w:rPr>
        <w:t xml:space="preserve"> </w:t>
      </w:r>
      <w:r w:rsidRPr="00BA1A59">
        <w:rPr>
          <w:i/>
          <w:sz w:val="16"/>
          <w:lang w:val="en-GB"/>
        </w:rPr>
        <w:t>Frontiers of Architectural Research</w:t>
      </w:r>
      <w:r w:rsidRPr="00BA1A59">
        <w:rPr>
          <w:sz w:val="16"/>
          <w:lang w:val="en-GB"/>
        </w:rPr>
        <w:t xml:space="preserve">, </w:t>
      </w:r>
      <w:r w:rsidRPr="00BA1A59">
        <w:rPr>
          <w:i/>
          <w:sz w:val="16"/>
          <w:lang w:val="en-GB"/>
        </w:rPr>
        <w:t>2</w:t>
      </w:r>
      <w:r w:rsidRPr="00BA1A59">
        <w:rPr>
          <w:sz w:val="16"/>
          <w:lang w:val="en-GB"/>
        </w:rPr>
        <w:t xml:space="preserve">(2), 178–190. </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Kärnä</w:t>
      </w:r>
      <w:proofErr w:type="spellEnd"/>
      <w:r w:rsidRPr="00BA1A59">
        <w:rPr>
          <w:sz w:val="16"/>
          <w:lang w:val="en-GB"/>
        </w:rPr>
        <w:t>, S. (2004).</w:t>
      </w:r>
      <w:proofErr w:type="gramEnd"/>
      <w:r w:rsidRPr="00BA1A59">
        <w:rPr>
          <w:sz w:val="16"/>
          <w:lang w:val="en-GB"/>
        </w:rPr>
        <w:t xml:space="preserve"> </w:t>
      </w:r>
      <w:proofErr w:type="gramStart"/>
      <w:r w:rsidRPr="00BA1A59">
        <w:rPr>
          <w:sz w:val="16"/>
          <w:lang w:val="en-GB"/>
        </w:rPr>
        <w:t>Analysing customer satisfaction and quality in construction–the case of public and private customers.</w:t>
      </w:r>
      <w:proofErr w:type="gramEnd"/>
      <w:r w:rsidRPr="00BA1A59">
        <w:rPr>
          <w:sz w:val="16"/>
          <w:lang w:val="en-GB"/>
        </w:rPr>
        <w:t xml:space="preserve"> </w:t>
      </w:r>
      <w:proofErr w:type="gramStart"/>
      <w:r w:rsidRPr="00BA1A59">
        <w:rPr>
          <w:i/>
          <w:iCs/>
          <w:sz w:val="16"/>
          <w:lang w:val="en-GB"/>
        </w:rPr>
        <w:t>Nordic journal of surveying and real estate research</w:t>
      </w:r>
      <w:r w:rsidRPr="00BA1A59">
        <w:rPr>
          <w:sz w:val="16"/>
          <w:lang w:val="en-GB"/>
        </w:rPr>
        <w:t xml:space="preserve">, </w:t>
      </w:r>
      <w:r w:rsidRPr="00BA1A59">
        <w:rPr>
          <w:i/>
          <w:iCs/>
          <w:sz w:val="16"/>
          <w:lang w:val="en-GB"/>
        </w:rPr>
        <w:t>2</w:t>
      </w:r>
      <w:r w:rsidRPr="00BA1A59">
        <w:rPr>
          <w:sz w:val="16"/>
          <w:lang w:val="en-GB"/>
        </w:rPr>
        <w:t>(67-80).</w:t>
      </w:r>
      <w:proofErr w:type="gramEnd"/>
    </w:p>
    <w:p w:rsidR="00BA1A59" w:rsidRPr="00BA1A59" w:rsidRDefault="00BA1A59" w:rsidP="00BA1A59">
      <w:pPr>
        <w:spacing w:before="1" w:line="183" w:lineRule="exact"/>
        <w:ind w:left="567" w:hanging="425"/>
        <w:rPr>
          <w:sz w:val="16"/>
          <w:lang w:val="en-GB"/>
        </w:rPr>
      </w:pPr>
      <w:proofErr w:type="spellStart"/>
      <w:r w:rsidRPr="00BA1A59">
        <w:rPr>
          <w:sz w:val="16"/>
          <w:lang w:val="en-GB"/>
        </w:rPr>
        <w:t>Kwasnicka</w:t>
      </w:r>
      <w:proofErr w:type="spellEnd"/>
      <w:r w:rsidRPr="00BA1A59">
        <w:rPr>
          <w:sz w:val="16"/>
          <w:lang w:val="en-GB"/>
        </w:rPr>
        <w:t xml:space="preserve">, D., Dombrowski, S. U., White, M., &amp; </w:t>
      </w:r>
      <w:proofErr w:type="spellStart"/>
      <w:r w:rsidRPr="00BA1A59">
        <w:rPr>
          <w:sz w:val="16"/>
          <w:lang w:val="en-GB"/>
        </w:rPr>
        <w:t>Sniehotta</w:t>
      </w:r>
      <w:proofErr w:type="spellEnd"/>
      <w:r w:rsidRPr="00BA1A59">
        <w:rPr>
          <w:sz w:val="16"/>
          <w:lang w:val="en-GB"/>
        </w:rPr>
        <w:t xml:space="preserve">, F. (2016). Theoretical explanations for maintenance of behaviour change: a systematic review of behaviour theories. </w:t>
      </w:r>
      <w:proofErr w:type="gramStart"/>
      <w:r w:rsidRPr="00BA1A59">
        <w:rPr>
          <w:i/>
          <w:sz w:val="16"/>
          <w:lang w:val="en-GB"/>
        </w:rPr>
        <w:t>Health Psychology Review</w:t>
      </w:r>
      <w:r w:rsidRPr="00BA1A59">
        <w:rPr>
          <w:sz w:val="16"/>
          <w:lang w:val="en-GB"/>
        </w:rPr>
        <w:t xml:space="preserve">, </w:t>
      </w:r>
      <w:r w:rsidRPr="00BA1A59">
        <w:rPr>
          <w:i/>
          <w:sz w:val="16"/>
          <w:lang w:val="en-GB"/>
        </w:rPr>
        <w:t>10</w:t>
      </w:r>
      <w:r w:rsidRPr="00BA1A59">
        <w:rPr>
          <w:sz w:val="16"/>
          <w:lang w:val="en-GB"/>
        </w:rPr>
        <w:t>(3), 277–96.</w:t>
      </w:r>
      <w:proofErr w:type="gramEnd"/>
      <w:r w:rsidRPr="00BA1A59">
        <w:rPr>
          <w:sz w:val="16"/>
          <w:lang w:val="en-GB"/>
        </w:rPr>
        <w:t xml:space="preserve"> </w:t>
      </w:r>
    </w:p>
    <w:p w:rsidR="00BA1A59" w:rsidRPr="00BA1A59" w:rsidRDefault="00BA1A59" w:rsidP="00BA1A59">
      <w:pPr>
        <w:spacing w:before="1" w:line="183" w:lineRule="exact"/>
        <w:ind w:left="567" w:hanging="425"/>
        <w:rPr>
          <w:sz w:val="16"/>
          <w:lang w:val="en-GB"/>
        </w:rPr>
      </w:pPr>
      <w:proofErr w:type="spellStart"/>
      <w:r w:rsidRPr="00BA1A59">
        <w:rPr>
          <w:sz w:val="16"/>
          <w:lang w:val="en-GB"/>
        </w:rPr>
        <w:t>Liias</w:t>
      </w:r>
      <w:proofErr w:type="spellEnd"/>
      <w:r w:rsidRPr="00BA1A59">
        <w:rPr>
          <w:sz w:val="16"/>
          <w:lang w:val="en-GB"/>
        </w:rPr>
        <w:t xml:space="preserve">, R. (2007). </w:t>
      </w:r>
      <w:proofErr w:type="gramStart"/>
      <w:r w:rsidRPr="00BA1A59">
        <w:rPr>
          <w:sz w:val="16"/>
          <w:lang w:val="en-GB"/>
        </w:rPr>
        <w:t>Housing maintenance management: the key-factor when creating healthy environment.</w:t>
      </w:r>
      <w:proofErr w:type="gramEnd"/>
      <w:r w:rsidRPr="00BA1A59">
        <w:rPr>
          <w:sz w:val="16"/>
          <w:lang w:val="en-GB"/>
        </w:rPr>
        <w:t xml:space="preserve"> </w:t>
      </w:r>
      <w:proofErr w:type="gramStart"/>
      <w:r w:rsidRPr="00BA1A59">
        <w:rPr>
          <w:i/>
          <w:sz w:val="16"/>
          <w:lang w:val="en-GB"/>
        </w:rPr>
        <w:t>International Journal of Environment and Pollution</w:t>
      </w:r>
      <w:r w:rsidRPr="00BA1A59">
        <w:rPr>
          <w:sz w:val="16"/>
          <w:lang w:val="en-GB"/>
        </w:rPr>
        <w:t xml:space="preserve">, </w:t>
      </w:r>
      <w:r w:rsidRPr="00BA1A59">
        <w:rPr>
          <w:i/>
          <w:sz w:val="16"/>
          <w:lang w:val="en-GB"/>
        </w:rPr>
        <w:t>30</w:t>
      </w:r>
      <w:r w:rsidRPr="00BA1A59">
        <w:rPr>
          <w:sz w:val="16"/>
          <w:lang w:val="en-GB"/>
        </w:rPr>
        <w:t>(3/4), 457.</w:t>
      </w:r>
      <w:proofErr w:type="gramEnd"/>
      <w:r w:rsidRPr="00BA1A59">
        <w:rPr>
          <w:sz w:val="16"/>
          <w:lang w:val="en-GB"/>
        </w:rPr>
        <w:t xml:space="preserve"> </w:t>
      </w:r>
    </w:p>
    <w:p w:rsidR="00BA1A59" w:rsidRPr="00BA1A59" w:rsidRDefault="00BA1A59" w:rsidP="00BA1A59">
      <w:pPr>
        <w:spacing w:before="1" w:line="183" w:lineRule="exact"/>
        <w:ind w:left="567" w:hanging="425"/>
        <w:rPr>
          <w:sz w:val="16"/>
          <w:lang w:val="en-GB"/>
        </w:rPr>
      </w:pPr>
      <w:proofErr w:type="gramStart"/>
      <w:r w:rsidRPr="00BA1A59">
        <w:rPr>
          <w:sz w:val="16"/>
          <w:lang w:val="en-GB"/>
        </w:rPr>
        <w:t xml:space="preserve">Mohammad, I. S., </w:t>
      </w:r>
      <w:proofErr w:type="spellStart"/>
      <w:r w:rsidRPr="00BA1A59">
        <w:rPr>
          <w:sz w:val="16"/>
          <w:lang w:val="en-GB"/>
        </w:rPr>
        <w:t>Zainol</w:t>
      </w:r>
      <w:proofErr w:type="spellEnd"/>
      <w:r w:rsidRPr="00BA1A59">
        <w:rPr>
          <w:sz w:val="16"/>
          <w:lang w:val="en-GB"/>
        </w:rPr>
        <w:t xml:space="preserve">, N. N., Abdullah, S., </w:t>
      </w:r>
      <w:proofErr w:type="spellStart"/>
      <w:r w:rsidRPr="00BA1A59">
        <w:rPr>
          <w:sz w:val="16"/>
          <w:lang w:val="en-GB"/>
        </w:rPr>
        <w:t>Woon</w:t>
      </w:r>
      <w:proofErr w:type="spellEnd"/>
      <w:r w:rsidRPr="00BA1A59">
        <w:rPr>
          <w:sz w:val="16"/>
          <w:lang w:val="en-GB"/>
        </w:rPr>
        <w:t>, N. B., &amp; Ramli, N. A. (2014).</w:t>
      </w:r>
      <w:proofErr w:type="gramEnd"/>
      <w:r w:rsidRPr="00BA1A59">
        <w:rPr>
          <w:sz w:val="16"/>
          <w:lang w:val="en-GB"/>
        </w:rPr>
        <w:t xml:space="preserve"> </w:t>
      </w:r>
      <w:proofErr w:type="gramStart"/>
      <w:r w:rsidRPr="00BA1A59">
        <w:rPr>
          <w:sz w:val="16"/>
          <w:lang w:val="en-GB"/>
        </w:rPr>
        <w:t>Critical Factors that Lead to Green Building Operations and Maintenance Problems in Malaysia : A Preliminary Study.</w:t>
      </w:r>
      <w:proofErr w:type="gramEnd"/>
      <w:r w:rsidRPr="00BA1A59">
        <w:rPr>
          <w:sz w:val="16"/>
          <w:lang w:val="en-GB"/>
        </w:rPr>
        <w:t xml:space="preserve"> </w:t>
      </w:r>
      <w:r w:rsidRPr="00BA1A59">
        <w:rPr>
          <w:i/>
          <w:sz w:val="16"/>
          <w:lang w:val="en-GB"/>
        </w:rPr>
        <w:t>Theoretical and Empirical Researches in Urban Management</w:t>
      </w:r>
      <w:r w:rsidRPr="00BA1A59">
        <w:rPr>
          <w:sz w:val="16"/>
          <w:lang w:val="en-GB"/>
        </w:rPr>
        <w:t xml:space="preserve">, </w:t>
      </w:r>
      <w:r w:rsidRPr="00BA1A59">
        <w:rPr>
          <w:i/>
          <w:sz w:val="16"/>
          <w:lang w:val="en-GB"/>
        </w:rPr>
        <w:t>9</w:t>
      </w:r>
      <w:r w:rsidRPr="00BA1A59">
        <w:rPr>
          <w:sz w:val="16"/>
          <w:lang w:val="en-GB"/>
        </w:rPr>
        <w:t xml:space="preserve">(2), 68–86. </w:t>
      </w:r>
    </w:p>
    <w:p w:rsidR="00BA1A59" w:rsidRPr="00BA1A59" w:rsidRDefault="00BA1A59" w:rsidP="00BA1A59">
      <w:pPr>
        <w:spacing w:before="1" w:line="183" w:lineRule="exact"/>
        <w:ind w:left="567" w:hanging="425"/>
        <w:rPr>
          <w:sz w:val="16"/>
          <w:lang w:val="en-GB"/>
        </w:rPr>
      </w:pPr>
      <w:proofErr w:type="gramStart"/>
      <w:r w:rsidRPr="00BA1A59">
        <w:rPr>
          <w:sz w:val="16"/>
          <w:lang w:val="en-GB"/>
        </w:rPr>
        <w:t>Mohit, M. A., Ibrahim, M., &amp; Rashid, Y. R. (2010).</w:t>
      </w:r>
      <w:proofErr w:type="gramEnd"/>
      <w:r w:rsidRPr="00BA1A59">
        <w:rPr>
          <w:sz w:val="16"/>
          <w:lang w:val="en-GB"/>
        </w:rPr>
        <w:t xml:space="preserve"> Assessment of residential satisfaction in newly designed public low-cost housing in Kuala Lumpur, Malaysia. </w:t>
      </w:r>
      <w:r w:rsidRPr="00BA1A59">
        <w:rPr>
          <w:i/>
          <w:sz w:val="16"/>
          <w:lang w:val="en-GB"/>
        </w:rPr>
        <w:t>Habitat International</w:t>
      </w:r>
      <w:r w:rsidRPr="00BA1A59">
        <w:rPr>
          <w:sz w:val="16"/>
          <w:lang w:val="en-GB"/>
        </w:rPr>
        <w:t xml:space="preserve">, </w:t>
      </w:r>
      <w:r w:rsidRPr="00BA1A59">
        <w:rPr>
          <w:i/>
          <w:sz w:val="16"/>
          <w:lang w:val="en-GB"/>
        </w:rPr>
        <w:t>34</w:t>
      </w:r>
      <w:r w:rsidRPr="00BA1A59">
        <w:rPr>
          <w:sz w:val="16"/>
          <w:lang w:val="en-GB"/>
        </w:rPr>
        <w:t xml:space="preserve">(1), 18–27. </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Myeda</w:t>
      </w:r>
      <w:proofErr w:type="spellEnd"/>
      <w:r w:rsidRPr="00BA1A59">
        <w:rPr>
          <w:sz w:val="16"/>
          <w:lang w:val="en-GB"/>
        </w:rPr>
        <w:t xml:space="preserve">, N. E., </w:t>
      </w:r>
      <w:proofErr w:type="spellStart"/>
      <w:r w:rsidRPr="00BA1A59">
        <w:rPr>
          <w:sz w:val="16"/>
          <w:lang w:val="en-GB"/>
        </w:rPr>
        <w:t>Kamaruzzaman</w:t>
      </w:r>
      <w:proofErr w:type="spellEnd"/>
      <w:r w:rsidRPr="00BA1A59">
        <w:rPr>
          <w:sz w:val="16"/>
          <w:lang w:val="en-GB"/>
        </w:rPr>
        <w:t>, S. N., &amp; Pitt, M. (2011).</w:t>
      </w:r>
      <w:proofErr w:type="gramEnd"/>
      <w:r w:rsidRPr="00BA1A59">
        <w:rPr>
          <w:sz w:val="16"/>
          <w:lang w:val="en-GB"/>
        </w:rPr>
        <w:t xml:space="preserve"> </w:t>
      </w:r>
      <w:proofErr w:type="gramStart"/>
      <w:r w:rsidRPr="00BA1A59">
        <w:rPr>
          <w:sz w:val="16"/>
          <w:lang w:val="en-GB"/>
        </w:rPr>
        <w:t>Measuring the performance of office buildings maintenance management in Malaysia.</w:t>
      </w:r>
      <w:proofErr w:type="gramEnd"/>
      <w:r w:rsidRPr="00BA1A59">
        <w:rPr>
          <w:sz w:val="16"/>
          <w:lang w:val="en-GB"/>
        </w:rPr>
        <w:t xml:space="preserve"> </w:t>
      </w:r>
      <w:r w:rsidRPr="00BA1A59">
        <w:rPr>
          <w:i/>
          <w:sz w:val="16"/>
          <w:lang w:val="en-GB"/>
        </w:rPr>
        <w:t>Journal of Facilities Management</w:t>
      </w:r>
      <w:r w:rsidRPr="00BA1A59">
        <w:rPr>
          <w:sz w:val="16"/>
          <w:lang w:val="en-GB"/>
        </w:rPr>
        <w:t xml:space="preserve">, </w:t>
      </w:r>
      <w:r w:rsidRPr="00BA1A59">
        <w:rPr>
          <w:i/>
          <w:sz w:val="16"/>
          <w:lang w:val="en-GB"/>
        </w:rPr>
        <w:t>9</w:t>
      </w:r>
      <w:r w:rsidRPr="00BA1A59">
        <w:rPr>
          <w:sz w:val="16"/>
          <w:lang w:val="en-GB"/>
        </w:rPr>
        <w:t xml:space="preserve">(3), 181–199. </w:t>
      </w:r>
    </w:p>
    <w:p w:rsidR="00BA1A59" w:rsidRPr="00BA1A59" w:rsidRDefault="00BA1A59" w:rsidP="00BA1A59">
      <w:pPr>
        <w:spacing w:before="1" w:line="183" w:lineRule="exact"/>
        <w:ind w:left="567" w:hanging="425"/>
        <w:rPr>
          <w:sz w:val="16"/>
          <w:lang w:val="en-GB"/>
        </w:rPr>
      </w:pPr>
      <w:proofErr w:type="gramStart"/>
      <w:r w:rsidRPr="00BA1A59">
        <w:rPr>
          <w:sz w:val="16"/>
          <w:lang w:val="en-GB"/>
        </w:rPr>
        <w:t xml:space="preserve">O'Brien, W., &amp; </w:t>
      </w:r>
      <w:proofErr w:type="spellStart"/>
      <w:r w:rsidRPr="00BA1A59">
        <w:rPr>
          <w:sz w:val="16"/>
          <w:lang w:val="en-GB"/>
        </w:rPr>
        <w:t>Gunay</w:t>
      </w:r>
      <w:proofErr w:type="spellEnd"/>
      <w:r w:rsidRPr="00BA1A59">
        <w:rPr>
          <w:sz w:val="16"/>
          <w:lang w:val="en-GB"/>
        </w:rPr>
        <w:t>, H. B. (2014).</w:t>
      </w:r>
      <w:proofErr w:type="gramEnd"/>
      <w:r w:rsidRPr="00BA1A59">
        <w:rPr>
          <w:sz w:val="16"/>
          <w:lang w:val="en-GB"/>
        </w:rPr>
        <w:t xml:space="preserve"> The contextual factors contributing to occupants' adaptive comfort </w:t>
      </w:r>
      <w:proofErr w:type="spellStart"/>
      <w:r w:rsidRPr="00BA1A59">
        <w:rPr>
          <w:sz w:val="16"/>
          <w:lang w:val="en-GB"/>
        </w:rPr>
        <w:t>behaviors</w:t>
      </w:r>
      <w:proofErr w:type="spellEnd"/>
      <w:r w:rsidRPr="00BA1A59">
        <w:rPr>
          <w:sz w:val="16"/>
          <w:lang w:val="en-GB"/>
        </w:rPr>
        <w:t xml:space="preserve"> in offices–A review and proposed </w:t>
      </w:r>
      <w:proofErr w:type="spellStart"/>
      <w:r w:rsidRPr="00BA1A59">
        <w:rPr>
          <w:sz w:val="16"/>
          <w:lang w:val="en-GB"/>
        </w:rPr>
        <w:t>modeling</w:t>
      </w:r>
      <w:proofErr w:type="spellEnd"/>
      <w:r w:rsidRPr="00BA1A59">
        <w:rPr>
          <w:sz w:val="16"/>
          <w:lang w:val="en-GB"/>
        </w:rPr>
        <w:t xml:space="preserve"> framework. </w:t>
      </w:r>
      <w:r w:rsidRPr="00BA1A59">
        <w:rPr>
          <w:i/>
          <w:iCs/>
          <w:sz w:val="16"/>
          <w:lang w:val="en-GB"/>
        </w:rPr>
        <w:t>Building and Environment</w:t>
      </w:r>
      <w:r w:rsidRPr="00BA1A59">
        <w:rPr>
          <w:sz w:val="16"/>
          <w:lang w:val="en-GB"/>
        </w:rPr>
        <w:t xml:space="preserve">, </w:t>
      </w:r>
      <w:r w:rsidRPr="00BA1A59">
        <w:rPr>
          <w:i/>
          <w:iCs/>
          <w:sz w:val="16"/>
          <w:lang w:val="en-GB"/>
        </w:rPr>
        <w:t>77</w:t>
      </w:r>
      <w:r w:rsidRPr="00BA1A59">
        <w:rPr>
          <w:sz w:val="16"/>
          <w:lang w:val="en-GB"/>
        </w:rPr>
        <w:t>, 77-87.</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Olubodun</w:t>
      </w:r>
      <w:proofErr w:type="spellEnd"/>
      <w:r w:rsidRPr="00BA1A59">
        <w:rPr>
          <w:sz w:val="16"/>
          <w:lang w:val="en-GB"/>
        </w:rPr>
        <w:t>, F., &amp; Mole, T. (1999).</w:t>
      </w:r>
      <w:proofErr w:type="gramEnd"/>
      <w:r w:rsidRPr="00BA1A59">
        <w:rPr>
          <w:sz w:val="16"/>
          <w:lang w:val="en-GB"/>
        </w:rPr>
        <w:t xml:space="preserve"> </w:t>
      </w:r>
      <w:proofErr w:type="gramStart"/>
      <w:r w:rsidRPr="00BA1A59">
        <w:rPr>
          <w:sz w:val="16"/>
          <w:lang w:val="en-GB"/>
        </w:rPr>
        <w:t>Evaluation of defect influencing factors in public housing in the UK.</w:t>
      </w:r>
      <w:proofErr w:type="gramEnd"/>
      <w:r w:rsidRPr="00BA1A59">
        <w:rPr>
          <w:sz w:val="16"/>
          <w:lang w:val="en-GB"/>
        </w:rPr>
        <w:t xml:space="preserve"> </w:t>
      </w:r>
      <w:r w:rsidRPr="00BA1A59">
        <w:rPr>
          <w:i/>
          <w:sz w:val="16"/>
          <w:lang w:val="en-GB"/>
        </w:rPr>
        <w:t>Structural Survey</w:t>
      </w:r>
      <w:r w:rsidRPr="00BA1A59">
        <w:rPr>
          <w:sz w:val="16"/>
          <w:lang w:val="en-GB"/>
        </w:rPr>
        <w:t xml:space="preserve">, </w:t>
      </w:r>
      <w:r w:rsidRPr="00BA1A59">
        <w:rPr>
          <w:i/>
          <w:sz w:val="16"/>
          <w:lang w:val="en-GB"/>
        </w:rPr>
        <w:t>17</w:t>
      </w:r>
      <w:r w:rsidRPr="00BA1A59">
        <w:rPr>
          <w:sz w:val="16"/>
          <w:lang w:val="en-GB"/>
        </w:rPr>
        <w:t xml:space="preserve">(3), 170–178. </w:t>
      </w:r>
    </w:p>
    <w:p w:rsidR="00BA1A59" w:rsidRPr="00BA1A59" w:rsidRDefault="00BA1A59" w:rsidP="00BA1A59">
      <w:pPr>
        <w:spacing w:before="1" w:line="183" w:lineRule="exact"/>
        <w:ind w:left="567" w:hanging="425"/>
        <w:rPr>
          <w:sz w:val="16"/>
          <w:lang w:val="en-GB"/>
        </w:rPr>
      </w:pPr>
      <w:proofErr w:type="gramStart"/>
      <w:r w:rsidRPr="00BA1A59">
        <w:rPr>
          <w:sz w:val="16"/>
          <w:lang w:val="en-GB"/>
        </w:rPr>
        <w:t>Pascale, R. T., &amp; Athos, A. G. (1981).</w:t>
      </w:r>
      <w:proofErr w:type="gramEnd"/>
      <w:r w:rsidRPr="00BA1A59">
        <w:rPr>
          <w:sz w:val="16"/>
          <w:lang w:val="en-GB"/>
        </w:rPr>
        <w:t xml:space="preserve"> </w:t>
      </w:r>
      <w:proofErr w:type="gramStart"/>
      <w:r w:rsidRPr="00BA1A59">
        <w:rPr>
          <w:sz w:val="16"/>
          <w:lang w:val="en-GB"/>
        </w:rPr>
        <w:t>The art of Japanese management.</w:t>
      </w:r>
      <w:proofErr w:type="gramEnd"/>
      <w:r w:rsidRPr="00BA1A59">
        <w:rPr>
          <w:sz w:val="16"/>
          <w:lang w:val="en-GB"/>
        </w:rPr>
        <w:t xml:space="preserve"> </w:t>
      </w:r>
      <w:r w:rsidRPr="00BA1A59">
        <w:rPr>
          <w:i/>
          <w:iCs/>
          <w:sz w:val="16"/>
          <w:lang w:val="en-GB"/>
        </w:rPr>
        <w:t>Business Horizons</w:t>
      </w:r>
      <w:r w:rsidRPr="00BA1A59">
        <w:rPr>
          <w:sz w:val="16"/>
          <w:lang w:val="en-GB"/>
        </w:rPr>
        <w:t xml:space="preserve">, </w:t>
      </w:r>
      <w:r w:rsidRPr="00BA1A59">
        <w:rPr>
          <w:i/>
          <w:iCs/>
          <w:sz w:val="16"/>
          <w:lang w:val="en-GB"/>
        </w:rPr>
        <w:t>24</w:t>
      </w:r>
      <w:r w:rsidRPr="00BA1A59">
        <w:rPr>
          <w:sz w:val="16"/>
          <w:lang w:val="en-GB"/>
        </w:rPr>
        <w:t>(6), 83-85.</w:t>
      </w:r>
    </w:p>
    <w:p w:rsidR="00BA1A59" w:rsidRPr="00BA1A59" w:rsidRDefault="00BA1A59" w:rsidP="00BA1A59">
      <w:pPr>
        <w:spacing w:before="1" w:line="183" w:lineRule="exact"/>
        <w:ind w:left="567" w:hanging="425"/>
        <w:rPr>
          <w:sz w:val="16"/>
          <w:lang w:val="en-GB"/>
        </w:rPr>
      </w:pPr>
      <w:r w:rsidRPr="00BA1A59">
        <w:rPr>
          <w:sz w:val="16"/>
          <w:lang w:val="en-GB"/>
        </w:rPr>
        <w:t xml:space="preserve">Rani, N. A. A., </w:t>
      </w:r>
      <w:proofErr w:type="spellStart"/>
      <w:r w:rsidRPr="00BA1A59">
        <w:rPr>
          <w:sz w:val="16"/>
          <w:lang w:val="en-GB"/>
        </w:rPr>
        <w:t>Baharum</w:t>
      </w:r>
      <w:proofErr w:type="spellEnd"/>
      <w:r w:rsidRPr="00BA1A59">
        <w:rPr>
          <w:sz w:val="16"/>
          <w:lang w:val="en-GB"/>
        </w:rPr>
        <w:t xml:space="preserve">, M. R., Akbar, A. R. N., &amp; </w:t>
      </w:r>
      <w:proofErr w:type="spellStart"/>
      <w:r w:rsidRPr="00BA1A59">
        <w:rPr>
          <w:sz w:val="16"/>
          <w:lang w:val="en-GB"/>
        </w:rPr>
        <w:t>Nawawi</w:t>
      </w:r>
      <w:proofErr w:type="spellEnd"/>
      <w:r w:rsidRPr="00BA1A59">
        <w:rPr>
          <w:sz w:val="16"/>
          <w:lang w:val="en-GB"/>
        </w:rPr>
        <w:t xml:space="preserve">, A. H. (2015). </w:t>
      </w:r>
      <w:proofErr w:type="gramStart"/>
      <w:r w:rsidRPr="00BA1A59">
        <w:rPr>
          <w:sz w:val="16"/>
          <w:lang w:val="en-GB"/>
        </w:rPr>
        <w:t>Perception of Maintenance Management Strategy on Healthcare Facilities.</w:t>
      </w:r>
      <w:proofErr w:type="gramEnd"/>
      <w:r w:rsidRPr="00BA1A59">
        <w:rPr>
          <w:sz w:val="16"/>
          <w:lang w:val="en-GB"/>
        </w:rPr>
        <w:t xml:space="preserve"> </w:t>
      </w:r>
      <w:r w:rsidRPr="00BA1A59">
        <w:rPr>
          <w:i/>
          <w:sz w:val="16"/>
          <w:lang w:val="en-GB"/>
        </w:rPr>
        <w:t xml:space="preserve">Procedia - Social and </w:t>
      </w:r>
      <w:proofErr w:type="spellStart"/>
      <w:r w:rsidRPr="00BA1A59">
        <w:rPr>
          <w:i/>
          <w:sz w:val="16"/>
          <w:lang w:val="en-GB"/>
        </w:rPr>
        <w:t>Behavioral</w:t>
      </w:r>
      <w:proofErr w:type="spellEnd"/>
      <w:r w:rsidRPr="00BA1A59">
        <w:rPr>
          <w:i/>
          <w:sz w:val="16"/>
          <w:lang w:val="en-GB"/>
        </w:rPr>
        <w:t xml:space="preserve"> Sciences</w:t>
      </w:r>
      <w:r w:rsidRPr="00BA1A59">
        <w:rPr>
          <w:sz w:val="16"/>
          <w:lang w:val="en-GB"/>
        </w:rPr>
        <w:t xml:space="preserve">, </w:t>
      </w:r>
      <w:r w:rsidRPr="00BA1A59">
        <w:rPr>
          <w:i/>
          <w:sz w:val="16"/>
          <w:lang w:val="en-GB"/>
        </w:rPr>
        <w:t>170</w:t>
      </w:r>
      <w:r w:rsidRPr="00BA1A59">
        <w:rPr>
          <w:sz w:val="16"/>
          <w:lang w:val="en-GB"/>
        </w:rPr>
        <w:t xml:space="preserve">, 272–281. </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Reiman</w:t>
      </w:r>
      <w:proofErr w:type="spellEnd"/>
      <w:r w:rsidRPr="00BA1A59">
        <w:rPr>
          <w:sz w:val="16"/>
          <w:lang w:val="en-GB"/>
        </w:rPr>
        <w:t xml:space="preserve">, T., &amp; </w:t>
      </w:r>
      <w:proofErr w:type="spellStart"/>
      <w:r w:rsidRPr="00BA1A59">
        <w:rPr>
          <w:sz w:val="16"/>
          <w:lang w:val="en-GB"/>
        </w:rPr>
        <w:t>Oedewald</w:t>
      </w:r>
      <w:proofErr w:type="spellEnd"/>
      <w:r w:rsidRPr="00BA1A59">
        <w:rPr>
          <w:sz w:val="16"/>
          <w:lang w:val="en-GB"/>
        </w:rPr>
        <w:t>, P. (2004).</w:t>
      </w:r>
      <w:proofErr w:type="gramEnd"/>
      <w:r w:rsidRPr="00BA1A59">
        <w:rPr>
          <w:sz w:val="16"/>
          <w:lang w:val="en-GB"/>
        </w:rPr>
        <w:t xml:space="preserve"> </w:t>
      </w:r>
      <w:proofErr w:type="gramStart"/>
      <w:r w:rsidRPr="00BA1A59">
        <w:rPr>
          <w:sz w:val="16"/>
          <w:lang w:val="en-GB"/>
        </w:rPr>
        <w:t>Measuring maintenance culture and maintenance core task with CULTURE-questionnaire––a case study in the power industry.</w:t>
      </w:r>
      <w:proofErr w:type="gramEnd"/>
      <w:r w:rsidRPr="00BA1A59">
        <w:rPr>
          <w:sz w:val="16"/>
          <w:lang w:val="en-GB"/>
        </w:rPr>
        <w:t xml:space="preserve"> </w:t>
      </w:r>
      <w:r w:rsidRPr="00BA1A59">
        <w:rPr>
          <w:i/>
          <w:iCs/>
          <w:sz w:val="16"/>
          <w:lang w:val="en-GB"/>
        </w:rPr>
        <w:t>Safety Science</w:t>
      </w:r>
      <w:r w:rsidRPr="00BA1A59">
        <w:rPr>
          <w:sz w:val="16"/>
          <w:lang w:val="en-GB"/>
        </w:rPr>
        <w:t xml:space="preserve">, </w:t>
      </w:r>
      <w:r w:rsidRPr="00BA1A59">
        <w:rPr>
          <w:i/>
          <w:iCs/>
          <w:sz w:val="16"/>
          <w:lang w:val="en-GB"/>
        </w:rPr>
        <w:t>42</w:t>
      </w:r>
      <w:r w:rsidRPr="00BA1A59">
        <w:rPr>
          <w:sz w:val="16"/>
          <w:lang w:val="en-GB"/>
        </w:rPr>
        <w:t>(9), 859-889.</w:t>
      </w:r>
    </w:p>
    <w:p w:rsidR="00BA1A59" w:rsidRPr="00BA1A59" w:rsidRDefault="00BA1A59" w:rsidP="00BA1A59">
      <w:pPr>
        <w:spacing w:before="1" w:line="183" w:lineRule="exact"/>
        <w:ind w:left="567" w:hanging="425"/>
        <w:rPr>
          <w:sz w:val="16"/>
          <w:lang w:val="en-GB"/>
        </w:rPr>
      </w:pPr>
      <w:proofErr w:type="gramStart"/>
      <w:r w:rsidRPr="00BA1A59">
        <w:rPr>
          <w:sz w:val="16"/>
          <w:lang w:val="en-GB"/>
        </w:rPr>
        <w:t>Rotter, J. B. (1960).</w:t>
      </w:r>
      <w:proofErr w:type="gramEnd"/>
      <w:r w:rsidRPr="00BA1A59">
        <w:rPr>
          <w:sz w:val="16"/>
          <w:lang w:val="en-GB"/>
        </w:rPr>
        <w:t xml:space="preserve"> Some implications of a social learning theory for the prediction of goal directed </w:t>
      </w:r>
      <w:proofErr w:type="spellStart"/>
      <w:r w:rsidRPr="00BA1A59">
        <w:rPr>
          <w:sz w:val="16"/>
          <w:lang w:val="en-GB"/>
        </w:rPr>
        <w:t>behavior</w:t>
      </w:r>
      <w:proofErr w:type="spellEnd"/>
      <w:r w:rsidRPr="00BA1A59">
        <w:rPr>
          <w:sz w:val="16"/>
          <w:lang w:val="en-GB"/>
        </w:rPr>
        <w:t xml:space="preserve"> from testing procedures. </w:t>
      </w:r>
      <w:proofErr w:type="gramStart"/>
      <w:r w:rsidRPr="00BA1A59">
        <w:rPr>
          <w:i/>
          <w:iCs/>
          <w:sz w:val="16"/>
          <w:lang w:val="en-GB"/>
        </w:rPr>
        <w:t>Psychological Review</w:t>
      </w:r>
      <w:r w:rsidRPr="00BA1A59">
        <w:rPr>
          <w:sz w:val="16"/>
          <w:lang w:val="en-GB"/>
        </w:rPr>
        <w:t xml:space="preserve">, </w:t>
      </w:r>
      <w:r w:rsidRPr="00BA1A59">
        <w:rPr>
          <w:i/>
          <w:iCs/>
          <w:sz w:val="16"/>
          <w:lang w:val="en-GB"/>
        </w:rPr>
        <w:t>67</w:t>
      </w:r>
      <w:r w:rsidRPr="00BA1A59">
        <w:rPr>
          <w:sz w:val="16"/>
          <w:lang w:val="en-GB"/>
        </w:rPr>
        <w:t>(5), 301.</w:t>
      </w:r>
      <w:proofErr w:type="gramEnd"/>
    </w:p>
    <w:p w:rsidR="00BA1A59" w:rsidRPr="00BA1A59" w:rsidRDefault="00BA1A59" w:rsidP="00BA1A59">
      <w:pPr>
        <w:spacing w:before="1" w:line="183" w:lineRule="exact"/>
        <w:ind w:left="567" w:hanging="425"/>
        <w:rPr>
          <w:sz w:val="16"/>
          <w:lang w:val="en-GB"/>
        </w:rPr>
      </w:pPr>
      <w:r w:rsidRPr="00BA1A59">
        <w:rPr>
          <w:sz w:val="16"/>
          <w:lang w:val="en-GB"/>
        </w:rPr>
        <w:t xml:space="preserve">Sani, S. I. A., Mohammed, A. H., </w:t>
      </w:r>
      <w:proofErr w:type="spellStart"/>
      <w:r w:rsidRPr="00BA1A59">
        <w:rPr>
          <w:sz w:val="16"/>
          <w:lang w:val="en-GB"/>
        </w:rPr>
        <w:t>Shukor</w:t>
      </w:r>
      <w:proofErr w:type="spellEnd"/>
      <w:r w:rsidRPr="00BA1A59">
        <w:rPr>
          <w:sz w:val="16"/>
          <w:lang w:val="en-GB"/>
        </w:rPr>
        <w:t xml:space="preserve">, F. S. A., &amp; Awang, M. (2011). </w:t>
      </w:r>
      <w:proofErr w:type="gramStart"/>
      <w:r w:rsidRPr="00BA1A59">
        <w:rPr>
          <w:sz w:val="16"/>
          <w:lang w:val="en-GB"/>
        </w:rPr>
        <w:t>Development of Maintenance Culture: A Conceptual Framework.</w:t>
      </w:r>
      <w:proofErr w:type="gramEnd"/>
      <w:r w:rsidRPr="00BA1A59">
        <w:rPr>
          <w:sz w:val="16"/>
          <w:lang w:val="en-GB"/>
        </w:rPr>
        <w:t xml:space="preserve"> </w:t>
      </w:r>
      <w:proofErr w:type="gramStart"/>
      <w:r w:rsidRPr="00BA1A59">
        <w:rPr>
          <w:sz w:val="16"/>
          <w:lang w:val="en-GB"/>
        </w:rPr>
        <w:t xml:space="preserve">In </w:t>
      </w:r>
      <w:r w:rsidRPr="00BA1A59">
        <w:rPr>
          <w:i/>
          <w:sz w:val="16"/>
          <w:lang w:val="en-GB"/>
        </w:rPr>
        <w:t>International Conference on Management (ICM 2011)</w:t>
      </w:r>
      <w:r w:rsidRPr="00BA1A59">
        <w:rPr>
          <w:sz w:val="16"/>
          <w:lang w:val="en-GB"/>
        </w:rPr>
        <w:t xml:space="preserve"> (pp. 1007–1013).</w:t>
      </w:r>
      <w:proofErr w:type="gramEnd"/>
      <w:r w:rsidRPr="00BA1A59">
        <w:rPr>
          <w:sz w:val="16"/>
          <w:lang w:val="en-GB"/>
        </w:rPr>
        <w:t xml:space="preserve"> </w:t>
      </w:r>
      <w:proofErr w:type="gramStart"/>
      <w:r w:rsidRPr="00BA1A59">
        <w:rPr>
          <w:sz w:val="16"/>
          <w:lang w:val="en-GB"/>
        </w:rPr>
        <w:t xml:space="preserve">NO 33-2 </w:t>
      </w:r>
      <w:proofErr w:type="spellStart"/>
      <w:r w:rsidRPr="00BA1A59">
        <w:rPr>
          <w:sz w:val="16"/>
          <w:lang w:val="en-GB"/>
        </w:rPr>
        <w:t>Jalan</w:t>
      </w:r>
      <w:proofErr w:type="spellEnd"/>
      <w:r w:rsidRPr="00BA1A59">
        <w:rPr>
          <w:sz w:val="16"/>
          <w:lang w:val="en-GB"/>
        </w:rPr>
        <w:t xml:space="preserve"> 9-9c, </w:t>
      </w:r>
      <w:proofErr w:type="spellStart"/>
      <w:r w:rsidRPr="00BA1A59">
        <w:rPr>
          <w:sz w:val="16"/>
          <w:lang w:val="en-GB"/>
        </w:rPr>
        <w:t>Seksyen</w:t>
      </w:r>
      <w:proofErr w:type="spellEnd"/>
      <w:r w:rsidRPr="00BA1A59">
        <w:rPr>
          <w:sz w:val="16"/>
          <w:lang w:val="en-GB"/>
        </w:rPr>
        <w:t xml:space="preserve"> 9, 43650 Bandar </w:t>
      </w:r>
      <w:proofErr w:type="spellStart"/>
      <w:r w:rsidRPr="00BA1A59">
        <w:rPr>
          <w:sz w:val="16"/>
          <w:lang w:val="en-GB"/>
        </w:rPr>
        <w:t>Baru</w:t>
      </w:r>
      <w:proofErr w:type="spellEnd"/>
      <w:r w:rsidRPr="00BA1A59">
        <w:rPr>
          <w:sz w:val="16"/>
          <w:lang w:val="en-GB"/>
        </w:rPr>
        <w:t xml:space="preserve"> </w:t>
      </w:r>
      <w:proofErr w:type="spellStart"/>
      <w:r w:rsidRPr="00BA1A59">
        <w:rPr>
          <w:sz w:val="16"/>
          <w:lang w:val="en-GB"/>
        </w:rPr>
        <w:t>Bangi</w:t>
      </w:r>
      <w:proofErr w:type="spellEnd"/>
      <w:r w:rsidRPr="00BA1A59">
        <w:rPr>
          <w:sz w:val="16"/>
          <w:lang w:val="en-GB"/>
        </w:rPr>
        <w:t xml:space="preserve">, Selangor </w:t>
      </w:r>
      <w:proofErr w:type="spellStart"/>
      <w:r w:rsidRPr="00BA1A59">
        <w:rPr>
          <w:sz w:val="16"/>
          <w:lang w:val="en-GB"/>
        </w:rPr>
        <w:t>Darul</w:t>
      </w:r>
      <w:proofErr w:type="spellEnd"/>
      <w:r w:rsidRPr="00BA1A59">
        <w:rPr>
          <w:sz w:val="16"/>
          <w:lang w:val="en-GB"/>
        </w:rPr>
        <w:t xml:space="preserve"> Ehsan, Malaysia.</w:t>
      </w:r>
      <w:proofErr w:type="gramEnd"/>
    </w:p>
    <w:p w:rsidR="00BA1A59" w:rsidRPr="00BA1A59" w:rsidRDefault="00BA1A59" w:rsidP="00BA1A59">
      <w:pPr>
        <w:spacing w:before="1" w:line="183" w:lineRule="exact"/>
        <w:ind w:left="567" w:hanging="425"/>
        <w:rPr>
          <w:sz w:val="16"/>
          <w:lang w:val="en-GB"/>
        </w:rPr>
      </w:pPr>
      <w:proofErr w:type="gramStart"/>
      <w:r w:rsidRPr="00BA1A59">
        <w:rPr>
          <w:sz w:val="16"/>
          <w:lang w:val="en-GB"/>
        </w:rPr>
        <w:t xml:space="preserve">Sani, S. I. A., </w:t>
      </w:r>
      <w:proofErr w:type="spellStart"/>
      <w:r w:rsidRPr="00BA1A59">
        <w:rPr>
          <w:sz w:val="16"/>
          <w:lang w:val="en-GB"/>
        </w:rPr>
        <w:t>Khair</w:t>
      </w:r>
      <w:proofErr w:type="spellEnd"/>
      <w:r w:rsidRPr="00BA1A59">
        <w:rPr>
          <w:sz w:val="16"/>
          <w:lang w:val="en-GB"/>
        </w:rPr>
        <w:t>, N., &amp; Mohamad, J. (2017).</w:t>
      </w:r>
      <w:proofErr w:type="gramEnd"/>
      <w:r w:rsidRPr="00BA1A59">
        <w:rPr>
          <w:sz w:val="16"/>
          <w:lang w:val="en-GB"/>
        </w:rPr>
        <w:t xml:space="preserve"> </w:t>
      </w:r>
      <w:proofErr w:type="gramStart"/>
      <w:r w:rsidRPr="00BA1A59">
        <w:rPr>
          <w:sz w:val="16"/>
          <w:lang w:val="en-GB"/>
        </w:rPr>
        <w:t>A Structural Model for Developing Maintenance Culture in Malaysian Local Authorities.</w:t>
      </w:r>
      <w:proofErr w:type="gramEnd"/>
      <w:r w:rsidRPr="00BA1A59">
        <w:rPr>
          <w:sz w:val="16"/>
          <w:lang w:val="en-GB"/>
        </w:rPr>
        <w:t xml:space="preserve"> </w:t>
      </w:r>
      <w:r w:rsidRPr="00BA1A59">
        <w:rPr>
          <w:i/>
          <w:iCs/>
          <w:sz w:val="16"/>
          <w:lang w:val="en-GB"/>
        </w:rPr>
        <w:t>Environment-Behaviour Proceedings Journal</w:t>
      </w:r>
      <w:r w:rsidRPr="00BA1A59">
        <w:rPr>
          <w:sz w:val="16"/>
          <w:lang w:val="en-GB"/>
        </w:rPr>
        <w:t xml:space="preserve">, </w:t>
      </w:r>
      <w:r w:rsidRPr="00BA1A59">
        <w:rPr>
          <w:i/>
          <w:iCs/>
          <w:sz w:val="16"/>
          <w:lang w:val="en-GB"/>
        </w:rPr>
        <w:t>2</w:t>
      </w:r>
      <w:r w:rsidRPr="00BA1A59">
        <w:rPr>
          <w:sz w:val="16"/>
          <w:lang w:val="en-GB"/>
        </w:rPr>
        <w:t>(6), 295-302.</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Suwaibatul</w:t>
      </w:r>
      <w:proofErr w:type="spellEnd"/>
      <w:r w:rsidRPr="00BA1A59">
        <w:rPr>
          <w:sz w:val="16"/>
          <w:lang w:val="en-GB"/>
        </w:rPr>
        <w:t xml:space="preserve"> </w:t>
      </w:r>
      <w:proofErr w:type="spellStart"/>
      <w:r w:rsidRPr="00BA1A59">
        <w:rPr>
          <w:sz w:val="16"/>
          <w:lang w:val="en-GB"/>
        </w:rPr>
        <w:t>Islamiah</w:t>
      </w:r>
      <w:proofErr w:type="spellEnd"/>
      <w:r w:rsidRPr="00BA1A59">
        <w:rPr>
          <w:sz w:val="16"/>
          <w:lang w:val="en-GB"/>
        </w:rPr>
        <w:t xml:space="preserve">, A. S., Abdul Hakim, M., </w:t>
      </w:r>
      <w:proofErr w:type="spellStart"/>
      <w:r w:rsidRPr="00BA1A59">
        <w:rPr>
          <w:sz w:val="16"/>
          <w:lang w:val="en-GB"/>
        </w:rPr>
        <w:t>Syazwina</w:t>
      </w:r>
      <w:proofErr w:type="spellEnd"/>
      <w:r w:rsidRPr="00BA1A59">
        <w:rPr>
          <w:sz w:val="16"/>
          <w:lang w:val="en-GB"/>
        </w:rPr>
        <w:t xml:space="preserve">, F. A. S., &amp; </w:t>
      </w:r>
      <w:proofErr w:type="spellStart"/>
      <w:r w:rsidRPr="00BA1A59">
        <w:rPr>
          <w:sz w:val="16"/>
          <w:lang w:val="en-GB"/>
        </w:rPr>
        <w:t>Eizzatul</w:t>
      </w:r>
      <w:proofErr w:type="spellEnd"/>
      <w:r w:rsidRPr="00BA1A59">
        <w:rPr>
          <w:sz w:val="16"/>
          <w:lang w:val="en-GB"/>
        </w:rPr>
        <w:t>, A. S. (2012).</w:t>
      </w:r>
      <w:proofErr w:type="gramEnd"/>
      <w:r w:rsidRPr="00BA1A59">
        <w:rPr>
          <w:sz w:val="16"/>
          <w:lang w:val="en-GB"/>
        </w:rPr>
        <w:t xml:space="preserve"> An Overview Development </w:t>
      </w:r>
      <w:proofErr w:type="gramStart"/>
      <w:r w:rsidRPr="00BA1A59">
        <w:rPr>
          <w:sz w:val="16"/>
          <w:lang w:val="en-GB"/>
        </w:rPr>
        <w:t>Of</w:t>
      </w:r>
      <w:proofErr w:type="gramEnd"/>
      <w:r w:rsidRPr="00BA1A59">
        <w:rPr>
          <w:sz w:val="16"/>
          <w:lang w:val="en-GB"/>
        </w:rPr>
        <w:t xml:space="preserve"> Maintenance Culture. In </w:t>
      </w:r>
      <w:r w:rsidRPr="00BA1A59">
        <w:rPr>
          <w:i/>
          <w:iCs/>
          <w:sz w:val="16"/>
          <w:lang w:val="en-GB"/>
        </w:rPr>
        <w:t xml:space="preserve">3rd International Conference </w:t>
      </w:r>
      <w:proofErr w:type="gramStart"/>
      <w:r w:rsidRPr="00BA1A59">
        <w:rPr>
          <w:i/>
          <w:iCs/>
          <w:sz w:val="16"/>
          <w:lang w:val="en-GB"/>
        </w:rPr>
        <w:t>On</w:t>
      </w:r>
      <w:proofErr w:type="gramEnd"/>
      <w:r w:rsidRPr="00BA1A59">
        <w:rPr>
          <w:i/>
          <w:iCs/>
          <w:sz w:val="16"/>
          <w:lang w:val="en-GB"/>
        </w:rPr>
        <w:t xml:space="preserve"> Business and Economic Research. </w:t>
      </w:r>
      <w:proofErr w:type="gramStart"/>
      <w:r w:rsidRPr="00BA1A59">
        <w:rPr>
          <w:i/>
          <w:iCs/>
          <w:sz w:val="16"/>
          <w:lang w:val="en-GB"/>
        </w:rPr>
        <w:t>Proceeding Conference</w:t>
      </w:r>
      <w:r w:rsidRPr="00BA1A59">
        <w:rPr>
          <w:sz w:val="16"/>
          <w:lang w:val="en-GB"/>
        </w:rPr>
        <w:t xml:space="preserve"> (pp. 2206-2217).</w:t>
      </w:r>
      <w:proofErr w:type="gramEnd"/>
    </w:p>
    <w:p w:rsidR="00BA1A59" w:rsidRPr="00BA1A59" w:rsidRDefault="00BA1A59" w:rsidP="00BA1A59">
      <w:pPr>
        <w:spacing w:before="1" w:line="183" w:lineRule="exact"/>
        <w:ind w:left="567" w:hanging="425"/>
        <w:rPr>
          <w:sz w:val="16"/>
          <w:lang w:val="en-GB"/>
        </w:rPr>
      </w:pPr>
      <w:proofErr w:type="spellStart"/>
      <w:r w:rsidRPr="00BA1A59">
        <w:rPr>
          <w:sz w:val="16"/>
          <w:lang w:val="en-GB"/>
        </w:rPr>
        <w:t>Yau</w:t>
      </w:r>
      <w:proofErr w:type="spellEnd"/>
      <w:r w:rsidRPr="00BA1A59">
        <w:rPr>
          <w:sz w:val="16"/>
          <w:lang w:val="en-GB"/>
        </w:rPr>
        <w:t xml:space="preserve">, Y. (2011). </w:t>
      </w:r>
      <w:proofErr w:type="gramStart"/>
      <w:r w:rsidRPr="00BA1A59">
        <w:rPr>
          <w:sz w:val="16"/>
          <w:lang w:val="en-GB"/>
        </w:rPr>
        <w:t>Homeowners’ participation in management of multi</w:t>
      </w:r>
      <w:r w:rsidRPr="00BA1A59">
        <w:rPr>
          <w:rFonts w:ascii="Cambria Math" w:hAnsi="Cambria Math" w:cs="Cambria Math"/>
          <w:sz w:val="16"/>
          <w:lang w:val="en-GB"/>
        </w:rPr>
        <w:t>‐</w:t>
      </w:r>
      <w:r w:rsidRPr="00BA1A59">
        <w:rPr>
          <w:sz w:val="16"/>
          <w:lang w:val="en-GB"/>
        </w:rPr>
        <w:t>storey residential buildings.</w:t>
      </w:r>
      <w:proofErr w:type="gramEnd"/>
      <w:r w:rsidRPr="00BA1A59">
        <w:rPr>
          <w:sz w:val="16"/>
          <w:lang w:val="en-GB"/>
        </w:rPr>
        <w:t xml:space="preserve"> </w:t>
      </w:r>
      <w:r w:rsidRPr="00BA1A59">
        <w:rPr>
          <w:i/>
          <w:sz w:val="16"/>
          <w:lang w:val="en-GB"/>
        </w:rPr>
        <w:t>Property Management</w:t>
      </w:r>
      <w:r w:rsidRPr="00BA1A59">
        <w:rPr>
          <w:sz w:val="16"/>
          <w:lang w:val="en-GB"/>
        </w:rPr>
        <w:t xml:space="preserve">, </w:t>
      </w:r>
      <w:r w:rsidRPr="00BA1A59">
        <w:rPr>
          <w:i/>
          <w:sz w:val="16"/>
          <w:lang w:val="en-GB"/>
        </w:rPr>
        <w:t>29</w:t>
      </w:r>
      <w:r w:rsidRPr="00BA1A59">
        <w:rPr>
          <w:sz w:val="16"/>
          <w:lang w:val="en-GB"/>
        </w:rPr>
        <w:t xml:space="preserve">(4), 345–356. </w:t>
      </w:r>
    </w:p>
    <w:p w:rsidR="00BA1A59" w:rsidRPr="00BA1A59" w:rsidRDefault="00BA1A59" w:rsidP="00BA1A59">
      <w:pPr>
        <w:spacing w:before="1" w:line="183" w:lineRule="exact"/>
        <w:ind w:left="567" w:hanging="425"/>
        <w:rPr>
          <w:sz w:val="16"/>
          <w:lang w:val="en-GB"/>
        </w:rPr>
      </w:pPr>
      <w:proofErr w:type="gramStart"/>
      <w:r w:rsidRPr="00BA1A59">
        <w:rPr>
          <w:sz w:val="16"/>
          <w:lang w:val="en-GB"/>
        </w:rPr>
        <w:t xml:space="preserve">Yusof, N., Abdullah, S., &amp; </w:t>
      </w:r>
      <w:proofErr w:type="spellStart"/>
      <w:r w:rsidRPr="00BA1A59">
        <w:rPr>
          <w:sz w:val="16"/>
          <w:lang w:val="en-GB"/>
        </w:rPr>
        <w:t>Najib</w:t>
      </w:r>
      <w:proofErr w:type="spellEnd"/>
      <w:r w:rsidRPr="00BA1A59">
        <w:rPr>
          <w:sz w:val="16"/>
          <w:lang w:val="en-GB"/>
        </w:rPr>
        <w:t>, N. ‘</w:t>
      </w:r>
      <w:proofErr w:type="spellStart"/>
      <w:r w:rsidRPr="00BA1A59">
        <w:rPr>
          <w:sz w:val="16"/>
          <w:lang w:val="en-GB"/>
        </w:rPr>
        <w:t>Ulyani</w:t>
      </w:r>
      <w:proofErr w:type="spellEnd"/>
      <w:r w:rsidRPr="00BA1A59">
        <w:rPr>
          <w:sz w:val="16"/>
          <w:lang w:val="en-GB"/>
        </w:rPr>
        <w:t xml:space="preserve"> M. (2014).</w:t>
      </w:r>
      <w:proofErr w:type="gramEnd"/>
      <w:r w:rsidRPr="00BA1A59">
        <w:rPr>
          <w:sz w:val="16"/>
          <w:lang w:val="en-GB"/>
        </w:rPr>
        <w:t xml:space="preserve"> How does communication influence the perceived performance of maintenance services in multi-storey public housing? </w:t>
      </w:r>
      <w:r w:rsidRPr="00BA1A59">
        <w:rPr>
          <w:i/>
          <w:sz w:val="16"/>
          <w:lang w:val="en-GB"/>
        </w:rPr>
        <w:t>International Journal of Strategic Property Management</w:t>
      </w:r>
      <w:r w:rsidRPr="00BA1A59">
        <w:rPr>
          <w:sz w:val="16"/>
          <w:lang w:val="en-GB"/>
        </w:rPr>
        <w:t xml:space="preserve">, </w:t>
      </w:r>
      <w:r w:rsidRPr="00BA1A59">
        <w:rPr>
          <w:i/>
          <w:sz w:val="16"/>
          <w:lang w:val="en-GB"/>
        </w:rPr>
        <w:t>18</w:t>
      </w:r>
      <w:r w:rsidRPr="00BA1A59">
        <w:rPr>
          <w:sz w:val="16"/>
          <w:lang w:val="en-GB"/>
        </w:rPr>
        <w:t xml:space="preserve">(4), 380–392. </w:t>
      </w:r>
    </w:p>
    <w:p w:rsidR="00BA1A59" w:rsidRPr="00BA1A59" w:rsidRDefault="00BA1A59" w:rsidP="00BA1A59">
      <w:pPr>
        <w:spacing w:before="1" w:line="183" w:lineRule="exact"/>
        <w:ind w:left="567" w:hanging="425"/>
        <w:rPr>
          <w:sz w:val="16"/>
          <w:lang w:val="en-GB"/>
        </w:rPr>
      </w:pPr>
      <w:proofErr w:type="spellStart"/>
      <w:proofErr w:type="gramStart"/>
      <w:r w:rsidRPr="00BA1A59">
        <w:rPr>
          <w:sz w:val="16"/>
          <w:lang w:val="en-GB"/>
        </w:rPr>
        <w:t>Zawawi</w:t>
      </w:r>
      <w:proofErr w:type="spellEnd"/>
      <w:r w:rsidRPr="00BA1A59">
        <w:rPr>
          <w:sz w:val="16"/>
          <w:lang w:val="en-GB"/>
        </w:rPr>
        <w:t xml:space="preserve">, E. M. A., </w:t>
      </w:r>
      <w:proofErr w:type="spellStart"/>
      <w:r w:rsidRPr="00BA1A59">
        <w:rPr>
          <w:sz w:val="16"/>
          <w:lang w:val="en-GB"/>
        </w:rPr>
        <w:t>Kamaruzzaman</w:t>
      </w:r>
      <w:proofErr w:type="spellEnd"/>
      <w:r w:rsidRPr="00BA1A59">
        <w:rPr>
          <w:sz w:val="16"/>
          <w:lang w:val="en-GB"/>
        </w:rPr>
        <w:t xml:space="preserve">, S. N., Ali, A. S., &amp; </w:t>
      </w:r>
      <w:proofErr w:type="spellStart"/>
      <w:r w:rsidRPr="00BA1A59">
        <w:rPr>
          <w:sz w:val="16"/>
          <w:lang w:val="en-GB"/>
        </w:rPr>
        <w:t>Sulaiman</w:t>
      </w:r>
      <w:proofErr w:type="spellEnd"/>
      <w:r w:rsidRPr="00BA1A59">
        <w:rPr>
          <w:sz w:val="16"/>
          <w:lang w:val="en-GB"/>
        </w:rPr>
        <w:t>, R. (2010).</w:t>
      </w:r>
      <w:proofErr w:type="gramEnd"/>
      <w:r w:rsidRPr="00BA1A59">
        <w:rPr>
          <w:sz w:val="16"/>
          <w:lang w:val="en-GB"/>
        </w:rPr>
        <w:t xml:space="preserve"> </w:t>
      </w:r>
      <w:proofErr w:type="gramStart"/>
      <w:r w:rsidRPr="00BA1A59">
        <w:rPr>
          <w:sz w:val="16"/>
          <w:lang w:val="en-GB"/>
        </w:rPr>
        <w:t>Assessment of building maintenance management in Malaysia: Resolving using a solution diagram.</w:t>
      </w:r>
      <w:proofErr w:type="gramEnd"/>
      <w:r w:rsidRPr="00BA1A59">
        <w:rPr>
          <w:sz w:val="16"/>
          <w:lang w:val="en-GB"/>
        </w:rPr>
        <w:t xml:space="preserve"> </w:t>
      </w:r>
      <w:r w:rsidRPr="00BA1A59">
        <w:rPr>
          <w:i/>
          <w:sz w:val="16"/>
          <w:lang w:val="en-GB"/>
        </w:rPr>
        <w:t>Journal of Retail and Leisure Property</w:t>
      </w:r>
      <w:r w:rsidRPr="00BA1A59">
        <w:rPr>
          <w:sz w:val="16"/>
          <w:lang w:val="en-GB"/>
        </w:rPr>
        <w:t xml:space="preserve">, </w:t>
      </w:r>
      <w:r w:rsidRPr="00BA1A59">
        <w:rPr>
          <w:i/>
          <w:sz w:val="16"/>
          <w:lang w:val="en-GB"/>
        </w:rPr>
        <w:t>9</w:t>
      </w:r>
      <w:r w:rsidRPr="00BA1A59">
        <w:rPr>
          <w:sz w:val="16"/>
          <w:lang w:val="en-GB"/>
        </w:rPr>
        <w:t>(4), 349–356.</w:t>
      </w:r>
    </w:p>
    <w:p w:rsidR="00BA1A59" w:rsidRDefault="00BA1A59" w:rsidP="00BA1A59">
      <w:pPr>
        <w:spacing w:before="1" w:line="183" w:lineRule="exact"/>
        <w:ind w:left="567" w:hanging="425"/>
        <w:rPr>
          <w:sz w:val="16"/>
          <w:lang w:val="en-GB"/>
        </w:rPr>
      </w:pPr>
    </w:p>
    <w:p w:rsidR="00BA1A59" w:rsidRDefault="00BA1A59" w:rsidP="00BA1A59">
      <w:pPr>
        <w:spacing w:before="1" w:line="183" w:lineRule="exact"/>
        <w:ind w:left="567" w:hanging="425"/>
        <w:rPr>
          <w:sz w:val="16"/>
          <w:lang w:val="en-GB"/>
        </w:rPr>
      </w:pPr>
    </w:p>
    <w:p w:rsidR="00BA1A59" w:rsidRPr="00BA1A59" w:rsidRDefault="00BA1A59" w:rsidP="00BA1A59">
      <w:pPr>
        <w:spacing w:before="1" w:line="183" w:lineRule="exact"/>
        <w:ind w:left="567" w:hanging="425"/>
        <w:rPr>
          <w:sz w:val="16"/>
          <w:lang w:val="en-GB"/>
        </w:rPr>
      </w:pPr>
    </w:p>
    <w:p w:rsidR="00BA1A59" w:rsidRPr="00BA1A59" w:rsidRDefault="00BA1A59" w:rsidP="00BA1A59">
      <w:pPr>
        <w:spacing w:before="1" w:line="183" w:lineRule="exact"/>
        <w:ind w:left="105"/>
        <w:rPr>
          <w:sz w:val="16"/>
          <w:lang w:val="en-GB"/>
        </w:rPr>
      </w:pPr>
    </w:p>
    <w:bookmarkEnd w:id="25"/>
    <w:p w:rsidR="00804F84" w:rsidRPr="00804F84" w:rsidRDefault="00804F84" w:rsidP="00804F84">
      <w:pPr>
        <w:spacing w:before="1" w:line="183" w:lineRule="exact"/>
        <w:ind w:left="105"/>
        <w:rPr>
          <w:sz w:val="16"/>
        </w:rPr>
      </w:pPr>
    </w:p>
    <w:p w:rsidR="00804F84" w:rsidRPr="00804F84" w:rsidRDefault="00804F84" w:rsidP="00804F84">
      <w:pPr>
        <w:spacing w:before="1" w:line="183" w:lineRule="exact"/>
        <w:ind w:left="105"/>
        <w:rPr>
          <w:sz w:val="16"/>
        </w:rPr>
      </w:pPr>
    </w:p>
    <w:sectPr w:rsidR="00804F84" w:rsidRPr="00804F84" w:rsidSect="008118C8">
      <w:headerReference w:type="default" r:id="rId8"/>
      <w:footerReference w:type="default" r:id="rId9"/>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FF1" w:rsidRDefault="00A94FF1" w:rsidP="008118C8">
      <w:r>
        <w:separator/>
      </w:r>
    </w:p>
  </w:endnote>
  <w:endnote w:type="continuationSeparator" w:id="0">
    <w:p w:rsidR="00A94FF1" w:rsidRDefault="00A94FF1"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B0755A">
    <w:pPr>
      <w:pStyle w:val="BodyText"/>
      <w:spacing w:line="14" w:lineRule="auto"/>
      <w:rPr>
        <w:sz w:val="20"/>
      </w:rPr>
    </w:pPr>
    <w:r w:rsidRPr="00B0755A">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B0755A">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B0755A">
      <w:pict>
        <v:shape id="_x0000_s2049" type="#_x0000_t202" style="position:absolute;margin-left:491.45pt;margin-top:757.9pt;width:32.85pt;height:10.85pt;z-index:-15952;mso-position-horizontal-relative:page;mso-position-vertical-relative:page" filled="f" stroked="f">
          <v:textbox inset="0,0,0,0">
            <w:txbxContent>
              <w:p w:rsidR="008118C8" w:rsidRDefault="002E6373">
                <w:pPr>
                  <w:spacing w:before="13"/>
                  <w:ind w:left="20"/>
                  <w:rPr>
                    <w:sz w:val="16"/>
                  </w:rPr>
                </w:pPr>
                <w:r>
                  <w:rPr>
                    <w:sz w:val="16"/>
                  </w:rPr>
                  <w:t xml:space="preserve">Page </w:t>
                </w:r>
                <w:r w:rsidR="00B0755A">
                  <w:fldChar w:fldCharType="begin"/>
                </w:r>
                <w:r>
                  <w:rPr>
                    <w:sz w:val="16"/>
                  </w:rPr>
                  <w:instrText xml:space="preserve"> PAGE </w:instrText>
                </w:r>
                <w:r w:rsidR="00B0755A">
                  <w:fldChar w:fldCharType="separate"/>
                </w:r>
                <w:r w:rsidR="004A209C">
                  <w:rPr>
                    <w:noProof/>
                    <w:sz w:val="16"/>
                  </w:rPr>
                  <w:t>1</w:t>
                </w:r>
                <w:r w:rsidR="00B0755A">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FF1" w:rsidRDefault="00A94FF1" w:rsidP="008118C8">
      <w:r>
        <w:separator/>
      </w:r>
    </w:p>
  </w:footnote>
  <w:footnote w:type="continuationSeparator" w:id="0">
    <w:p w:rsidR="00A94FF1" w:rsidRDefault="00A94FF1"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B0755A">
    <w:pPr>
      <w:pStyle w:val="BodyText"/>
      <w:spacing w:line="14" w:lineRule="auto"/>
      <w:rPr>
        <w:sz w:val="20"/>
      </w:rPr>
    </w:pPr>
    <w:r w:rsidRPr="00B0755A">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B0755A">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inset="0,0,0,0">
            <w:txbxContent>
              <w:p w:rsidR="008118C8" w:rsidRDefault="002E6373">
                <w:pPr>
                  <w:spacing w:before="13"/>
                  <w:ind w:left="20"/>
                  <w:rPr>
                    <w:sz w:val="16"/>
                  </w:rPr>
                </w:pPr>
                <w:r>
                  <w:rPr>
                    <w:sz w:val="16"/>
                  </w:rPr>
                  <w:t>Journal of Building Performance</w:t>
                </w:r>
              </w:p>
            </w:txbxContent>
          </v:textbox>
          <w10:wrap anchorx="page" anchory="page"/>
        </v:shape>
      </w:pict>
    </w:r>
    <w:r w:rsidRPr="00B0755A">
      <w:pict>
        <v:shape id="_x0000_s2056" type="#_x0000_t202" style="position:absolute;margin-left:282.2pt;margin-top:35.05pt;width:63.4pt;height:10.85pt;z-index:-16072;mso-position-horizontal-relative:page;mso-position-vertical-relative:page" filled="f" stroked="f">
          <v:textbox inset="0,0,0,0">
            <w:txbxContent>
              <w:p w:rsidR="008118C8" w:rsidRDefault="002E6373">
                <w:pPr>
                  <w:spacing w:before="13"/>
                  <w:ind w:left="20"/>
                  <w:rPr>
                    <w:sz w:val="16"/>
                  </w:rPr>
                </w:pPr>
                <w:r>
                  <w:rPr>
                    <w:sz w:val="16"/>
                  </w:rPr>
                  <w:t>ISSN: 2180-2106</w:t>
                </w:r>
              </w:p>
            </w:txbxContent>
          </v:textbox>
          <w10:wrap anchorx="page" anchory="page"/>
        </v:shape>
      </w:pict>
    </w:r>
    <w:r w:rsidRPr="00B0755A">
      <w:pict>
        <v:shape id="_x0000_s2055" type="#_x0000_t202" style="position:absolute;margin-left:376.95pt;margin-top:35.05pt;width:83.8pt;height:10.85pt;z-index:-16048;mso-position-horizontal-relative:page;mso-position-vertical-relative:page" filled="f" stroked="f">
          <v:textbox inset="0,0,0,0">
            <w:txbxContent>
              <w:p w:rsidR="008118C8" w:rsidRDefault="002E6373">
                <w:pPr>
                  <w:spacing w:before="13"/>
                  <w:ind w:left="20"/>
                  <w:rPr>
                    <w:sz w:val="16"/>
                  </w:rPr>
                </w:pPr>
                <w:r w:rsidRPr="00545517">
                  <w:rPr>
                    <w:sz w:val="16"/>
                  </w:rPr>
                  <w:t xml:space="preserve">Volume 9 Issue </w:t>
                </w:r>
                <w:r w:rsidR="00452020">
                  <w:rPr>
                    <w:sz w:val="16"/>
                  </w:rPr>
                  <w:t>2</w:t>
                </w:r>
                <w:r w:rsidRPr="00545517">
                  <w:rPr>
                    <w:sz w:val="16"/>
                  </w:rPr>
                  <w:t xml:space="preserve"> 2018</w:t>
                </w:r>
              </w:p>
            </w:txbxContent>
          </v:textbox>
          <w10:wrap anchorx="page" anchory="page"/>
        </v:shape>
      </w:pict>
    </w:r>
    <w:r w:rsidRPr="00B0755A">
      <w:pict>
        <v:shape id="_x0000_s2054" type="#_x0000_t202" style="position:absolute;margin-left:222.65pt;margin-top:44.4pt;width:150.55pt;height:10.85pt;z-index:-16024;mso-position-horizontal-relative:page;mso-position-vertical-relative:page" filled="f" stroked="f">
          <v:textbox inset="0,0,0,0">
            <w:txbxContent>
              <w:p w:rsidR="008118C8" w:rsidRDefault="00B0755A">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80016"/>
    <w:rsid w:val="001E1550"/>
    <w:rsid w:val="002E6373"/>
    <w:rsid w:val="003711B6"/>
    <w:rsid w:val="00391579"/>
    <w:rsid w:val="003E5BBC"/>
    <w:rsid w:val="00452020"/>
    <w:rsid w:val="004A209C"/>
    <w:rsid w:val="004B153E"/>
    <w:rsid w:val="00501A0C"/>
    <w:rsid w:val="00525DAD"/>
    <w:rsid w:val="00545517"/>
    <w:rsid w:val="005D64D8"/>
    <w:rsid w:val="005E492B"/>
    <w:rsid w:val="00613C4B"/>
    <w:rsid w:val="006A1DE2"/>
    <w:rsid w:val="00744067"/>
    <w:rsid w:val="007E6C0B"/>
    <w:rsid w:val="007F59B4"/>
    <w:rsid w:val="00804F84"/>
    <w:rsid w:val="0081049F"/>
    <w:rsid w:val="008118C8"/>
    <w:rsid w:val="00A8061F"/>
    <w:rsid w:val="00A94FF1"/>
    <w:rsid w:val="00B0755A"/>
    <w:rsid w:val="00B214B3"/>
    <w:rsid w:val="00B8672F"/>
    <w:rsid w:val="00BA1A59"/>
    <w:rsid w:val="00C02EBD"/>
    <w:rsid w:val="00C16F1B"/>
    <w:rsid w:val="00C661E3"/>
    <w:rsid w:val="00CC6561"/>
    <w:rsid w:val="00D37C44"/>
    <w:rsid w:val="00DF74C7"/>
    <w:rsid w:val="00E62BC6"/>
    <w:rsid w:val="00EF553F"/>
    <w:rsid w:val="00F56E79"/>
    <w:rsid w:val="00FC0DFC"/>
    <w:rsid w:val="00FC32FD"/>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13</cp:revision>
  <dcterms:created xsi:type="dcterms:W3CDTF">2018-03-30T06:27:00Z</dcterms:created>
  <dcterms:modified xsi:type="dcterms:W3CDTF">2018-04-09T05:59:00Z</dcterms:modified>
</cp:coreProperties>
</file>