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Pr="003B5B4F" w:rsidRDefault="001A563A" w:rsidP="00B901D4">
      <w:pPr>
        <w:spacing w:before="83" w:line="242" w:lineRule="auto"/>
        <w:ind w:left="400" w:right="551"/>
        <w:jc w:val="center"/>
        <w:rPr>
          <w:b/>
          <w:sz w:val="24"/>
        </w:rPr>
      </w:pPr>
      <w:r w:rsidRPr="001A563A">
        <w:rPr>
          <w:b/>
          <w:sz w:val="24"/>
        </w:rPr>
        <w:t>POST OCCUPANCY EVALUATION ON DESIGN FACTOR OF ABLUTION AREA IN MUSHOLLA: SHAH ALAM SHOPPING CENTERS</w:t>
      </w:r>
    </w:p>
    <w:p w:rsidR="008118C8" w:rsidRDefault="001A563A" w:rsidP="004B153E">
      <w:pPr>
        <w:pStyle w:val="BodyText"/>
        <w:spacing w:before="233" w:line="203" w:lineRule="exact"/>
        <w:ind w:left="142"/>
        <w:jc w:val="center"/>
      </w:pPr>
      <w:proofErr w:type="spellStart"/>
      <w:r w:rsidRPr="00AC6219">
        <w:t>Raha</w:t>
      </w:r>
      <w:proofErr w:type="spellEnd"/>
      <w:r w:rsidRPr="00AC6219">
        <w:t xml:space="preserve"> Sulaiman</w:t>
      </w:r>
      <w:r w:rsidR="002E6373">
        <w:rPr>
          <w:w w:val="105"/>
          <w:vertAlign w:val="superscript"/>
        </w:rPr>
        <w:t>1</w:t>
      </w:r>
      <w:r w:rsidR="002E6373">
        <w:rPr>
          <w:w w:val="105"/>
        </w:rPr>
        <w:t xml:space="preserve">, </w:t>
      </w:r>
      <w:proofErr w:type="spellStart"/>
      <w:r w:rsidRPr="001A563A">
        <w:t>Norhaziqah</w:t>
      </w:r>
      <w:proofErr w:type="spellEnd"/>
      <w:r w:rsidRPr="001A563A">
        <w:t xml:space="preserve"> </w:t>
      </w:r>
      <w:proofErr w:type="spellStart"/>
      <w:r w:rsidRPr="001A563A">
        <w:t>Ikmal</w:t>
      </w:r>
      <w:proofErr w:type="spellEnd"/>
      <w:r w:rsidRPr="001A563A">
        <w:t xml:space="preserve"> </w:t>
      </w:r>
      <w:proofErr w:type="spellStart"/>
      <w:r w:rsidRPr="001A563A">
        <w:t>binti</w:t>
      </w:r>
      <w:proofErr w:type="spellEnd"/>
      <w:r w:rsidRPr="001A563A">
        <w:t xml:space="preserve"> Mohamad</w:t>
      </w:r>
      <w:r w:rsidR="002E6373">
        <w:rPr>
          <w:w w:val="105"/>
          <w:vertAlign w:val="superscript"/>
        </w:rPr>
        <w:t>2</w:t>
      </w:r>
    </w:p>
    <w:p w:rsidR="008118C8" w:rsidRPr="00696C1E" w:rsidRDefault="002E6373" w:rsidP="00696C1E">
      <w:pPr>
        <w:spacing w:before="22" w:line="230" w:lineRule="exact"/>
        <w:ind w:left="449" w:right="496"/>
        <w:jc w:val="center"/>
        <w:rPr>
          <w:i/>
          <w:w w:val="105"/>
          <w:position w:val="10"/>
          <w:sz w:val="13"/>
        </w:rPr>
      </w:pPr>
      <w:r>
        <w:rPr>
          <w:i/>
          <w:w w:val="105"/>
          <w:position w:val="10"/>
          <w:sz w:val="13"/>
        </w:rPr>
        <w:t>1</w:t>
      </w:r>
      <w:r w:rsidR="00696C1E">
        <w:rPr>
          <w:i/>
          <w:w w:val="105"/>
          <w:position w:val="10"/>
          <w:sz w:val="13"/>
        </w:rPr>
        <w:t>,</w:t>
      </w:r>
      <w:r w:rsidR="003B5B4F">
        <w:rPr>
          <w:i/>
          <w:w w:val="105"/>
          <w:position w:val="10"/>
          <w:sz w:val="13"/>
        </w:rPr>
        <w:t>2</w:t>
      </w:r>
      <w:r w:rsidR="00696C1E" w:rsidRPr="00696C1E">
        <w:rPr>
          <w:i/>
          <w:w w:val="105"/>
          <w:sz w:val="19"/>
        </w:rPr>
        <w:t>Centre for Building Construction and Tropical Architecture</w:t>
      </w:r>
      <w:r w:rsidR="00696C1E">
        <w:rPr>
          <w:i/>
          <w:w w:val="105"/>
          <w:sz w:val="19"/>
        </w:rPr>
        <w:t>, F</w:t>
      </w:r>
      <w:r>
        <w:rPr>
          <w:i/>
          <w:w w:val="105"/>
          <w:sz w:val="19"/>
        </w:rPr>
        <w:t xml:space="preserve">aculty of </w:t>
      </w:r>
      <w:r w:rsidR="004B153E" w:rsidRPr="004B153E">
        <w:rPr>
          <w:i/>
          <w:w w:val="105"/>
          <w:sz w:val="19"/>
        </w:rPr>
        <w:t>Built Envi</w:t>
      </w:r>
      <w:r w:rsidR="004B153E">
        <w:rPr>
          <w:i/>
          <w:w w:val="105"/>
          <w:sz w:val="19"/>
        </w:rPr>
        <w:t>r</w:t>
      </w:r>
      <w:r w:rsidR="004B153E" w:rsidRPr="004B153E">
        <w:rPr>
          <w:i/>
          <w:w w:val="105"/>
          <w:sz w:val="19"/>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rPr>
      </w:pPr>
      <w:r>
        <w:rPr>
          <w:w w:val="105"/>
        </w:rPr>
        <w:t xml:space="preserve">*Corresponding author: </w:t>
      </w:r>
      <w:r w:rsidR="0089223B" w:rsidRPr="0089223B">
        <w:rPr>
          <w:u w:val="single"/>
        </w:rPr>
        <w:t>rahasulaiman@um.edu.my</w:t>
      </w:r>
    </w:p>
    <w:p w:rsidR="008118C8" w:rsidRDefault="008118C8">
      <w:pPr>
        <w:pStyle w:val="BodyText"/>
        <w:rPr>
          <w:sz w:val="20"/>
        </w:rPr>
      </w:pPr>
    </w:p>
    <w:p w:rsidR="008118C8" w:rsidRDefault="008118C8">
      <w:pPr>
        <w:pStyle w:val="BodyText"/>
        <w:spacing w:before="1"/>
        <w:rPr>
          <w:sz w:val="21"/>
        </w:rPr>
      </w:pPr>
    </w:p>
    <w:p w:rsidR="008118C8" w:rsidRDefault="002E6373" w:rsidP="00D945C0">
      <w:pPr>
        <w:pStyle w:val="Heading1"/>
        <w:rPr>
          <w:w w:val="105"/>
        </w:rPr>
      </w:pPr>
      <w:r>
        <w:rPr>
          <w:w w:val="105"/>
        </w:rPr>
        <w:t>Abstract</w:t>
      </w:r>
    </w:p>
    <w:p w:rsidR="002D1499" w:rsidRDefault="00673246" w:rsidP="0000525D">
      <w:pPr>
        <w:pStyle w:val="Heading1"/>
        <w:jc w:val="both"/>
        <w:rPr>
          <w:b w:val="0"/>
          <w:w w:val="105"/>
        </w:rPr>
      </w:pPr>
      <w:proofErr w:type="spellStart"/>
      <w:r w:rsidRPr="00673246">
        <w:rPr>
          <w:b w:val="0"/>
          <w:w w:val="105"/>
        </w:rPr>
        <w:t>Musholla</w:t>
      </w:r>
      <w:proofErr w:type="spellEnd"/>
      <w:r w:rsidRPr="00673246">
        <w:rPr>
          <w:b w:val="0"/>
          <w:w w:val="105"/>
        </w:rPr>
        <w:t xml:space="preserve"> is one of the facilities provided in the shopping malls. In Islam, cleanliness is the main aspect especially when someone wants to pray. The ablution area is one of the important areas that are highly accessible in the </w:t>
      </w:r>
      <w:proofErr w:type="spellStart"/>
      <w:r w:rsidRPr="00673246">
        <w:rPr>
          <w:b w:val="0"/>
          <w:w w:val="105"/>
        </w:rPr>
        <w:t>Musholla</w:t>
      </w:r>
      <w:proofErr w:type="spellEnd"/>
      <w:r w:rsidRPr="00673246">
        <w:rPr>
          <w:b w:val="0"/>
          <w:w w:val="105"/>
        </w:rPr>
        <w:t xml:space="preserve"> and the importance of providing it is also a part of Islamic virtue as this area is places of cleansing certain parts of the body in a certain order or in Arabic, it called as ‘</w:t>
      </w:r>
      <w:proofErr w:type="spellStart"/>
      <w:r w:rsidRPr="00673246">
        <w:rPr>
          <w:b w:val="0"/>
          <w:w w:val="105"/>
        </w:rPr>
        <w:t>wudu</w:t>
      </w:r>
      <w:proofErr w:type="spellEnd"/>
      <w:r w:rsidRPr="00673246">
        <w:rPr>
          <w:b w:val="0"/>
          <w:w w:val="105"/>
        </w:rPr>
        <w:t xml:space="preserve">’. Since there is lack of guideline and document specifically on ablution area, this paper is to give some fundamental criteria for the ablution design guideline. To get the result, this research is to identify the design factors of an ablution area that make comfortable for users in the </w:t>
      </w:r>
      <w:proofErr w:type="spellStart"/>
      <w:r w:rsidRPr="00673246">
        <w:rPr>
          <w:b w:val="0"/>
          <w:w w:val="105"/>
        </w:rPr>
        <w:t>Musholla</w:t>
      </w:r>
      <w:proofErr w:type="spellEnd"/>
      <w:r w:rsidRPr="00673246">
        <w:rPr>
          <w:b w:val="0"/>
          <w:w w:val="105"/>
        </w:rPr>
        <w:t xml:space="preserve">. Also, this research is to investigate the effectiveness of the ablution design in the </w:t>
      </w:r>
      <w:proofErr w:type="spellStart"/>
      <w:r w:rsidRPr="00673246">
        <w:rPr>
          <w:b w:val="0"/>
          <w:w w:val="105"/>
        </w:rPr>
        <w:t>Musholla</w:t>
      </w:r>
      <w:proofErr w:type="spellEnd"/>
      <w:r w:rsidRPr="00673246">
        <w:rPr>
          <w:b w:val="0"/>
          <w:w w:val="105"/>
        </w:rPr>
        <w:t xml:space="preserve">. For that reason, the observation and data collection has been carried out at selected case studies, which are Mall A and Mall B. Since Malaysia does not have specific guideline for ablution area, the post occupancy evaluation for current ablution design is very important, as it can lead the architects and designers in designing the better ablution area. This research </w:t>
      </w:r>
      <w:r w:rsidR="00F767B0" w:rsidRPr="00673246">
        <w:rPr>
          <w:b w:val="0"/>
          <w:w w:val="105"/>
        </w:rPr>
        <w:t>is</w:t>
      </w:r>
      <w:r w:rsidRPr="00673246">
        <w:rPr>
          <w:b w:val="0"/>
          <w:w w:val="105"/>
        </w:rPr>
        <w:t xml:space="preserve"> carried out using quantitative and qualitative approach which are interview session with the local authorities, questionnaire survey to the users, and observation to evaluate the effectiveness of the ablution area at those buildings. The conclusions for this research pointed out that there are several factors should be considered into the ablution design such as size, space arrangement between clean zone and non-clean zone, facilities for Person with Disabilities (</w:t>
      </w:r>
      <w:proofErr w:type="spellStart"/>
      <w:r w:rsidRPr="00673246">
        <w:rPr>
          <w:b w:val="0"/>
          <w:w w:val="105"/>
        </w:rPr>
        <w:t>PwDs</w:t>
      </w:r>
      <w:proofErr w:type="spellEnd"/>
      <w:r w:rsidRPr="00673246">
        <w:rPr>
          <w:b w:val="0"/>
          <w:w w:val="105"/>
        </w:rPr>
        <w:t>), ergonomic aspects for ablution unit, maintenance and security. Hence, the recommendations on the fundamental criteria for an ablution design guideline are provided.</w:t>
      </w:r>
    </w:p>
    <w:p w:rsidR="00673246" w:rsidRPr="00D945C0" w:rsidRDefault="00673246" w:rsidP="0000525D">
      <w:pPr>
        <w:pStyle w:val="Heading1"/>
        <w:jc w:val="both"/>
        <w:rPr>
          <w:w w:val="105"/>
        </w:rPr>
      </w:pPr>
    </w:p>
    <w:p w:rsidR="008118C8" w:rsidRDefault="002E6373">
      <w:pPr>
        <w:pStyle w:val="Heading1"/>
        <w:jc w:val="both"/>
        <w:rPr>
          <w:w w:val="105"/>
        </w:rPr>
      </w:pPr>
      <w:r>
        <w:rPr>
          <w:w w:val="105"/>
        </w:rPr>
        <w:t>Keywords:</w:t>
      </w:r>
    </w:p>
    <w:p w:rsidR="002D1499" w:rsidRDefault="00F767B0" w:rsidP="00E62BC6">
      <w:pPr>
        <w:pStyle w:val="BodyText"/>
        <w:spacing w:before="7"/>
        <w:ind w:firstLine="105"/>
        <w:rPr>
          <w:bCs/>
        </w:rPr>
      </w:pPr>
      <w:proofErr w:type="spellStart"/>
      <w:r w:rsidRPr="00F767B0">
        <w:rPr>
          <w:bCs/>
        </w:rPr>
        <w:t>Musholla</w:t>
      </w:r>
      <w:proofErr w:type="spellEnd"/>
      <w:r w:rsidRPr="00F767B0">
        <w:rPr>
          <w:bCs/>
        </w:rPr>
        <w:t>, Ablution, Shopping Mall, Post Occupancy Evaluation</w:t>
      </w:r>
    </w:p>
    <w:p w:rsidR="00F767B0" w:rsidRDefault="00F767B0" w:rsidP="00E62BC6">
      <w:pPr>
        <w:pStyle w:val="BodyText"/>
        <w:spacing w:before="7"/>
        <w:ind w:firstLine="105"/>
        <w:rPr>
          <w:sz w:val="20"/>
        </w:rPr>
      </w:pPr>
    </w:p>
    <w:p w:rsidR="008118C8" w:rsidRPr="00381112" w:rsidRDefault="002E6373">
      <w:pPr>
        <w:spacing w:line="183" w:lineRule="exact"/>
        <w:ind w:left="105"/>
        <w:jc w:val="both"/>
        <w:rPr>
          <w:sz w:val="16"/>
        </w:rPr>
      </w:pPr>
      <w:bookmarkStart w:id="0" w:name="_GoBack"/>
      <w:bookmarkEnd w:id="0"/>
      <w:r w:rsidRPr="00381112">
        <w:rPr>
          <w:b/>
          <w:i/>
          <w:sz w:val="16"/>
        </w:rPr>
        <w:t>Article history:</w:t>
      </w:r>
    </w:p>
    <w:p w:rsidR="00734FC0" w:rsidRDefault="00734FC0" w:rsidP="00734FC0">
      <w:pPr>
        <w:spacing w:line="183" w:lineRule="exact"/>
        <w:ind w:left="105"/>
        <w:jc w:val="both"/>
        <w:rPr>
          <w:sz w:val="16"/>
        </w:rPr>
      </w:pPr>
      <w:r w:rsidRPr="00381112">
        <w:rPr>
          <w:sz w:val="16"/>
        </w:rPr>
        <w:t xml:space="preserve">Submitted: 2/11/2017; Revised: 28/11/2017; Accepted: 26/01/2018; Online: </w:t>
      </w:r>
      <w:r w:rsidR="00F524F3">
        <w:rPr>
          <w:sz w:val="16"/>
        </w:rPr>
        <w:t>1/06/2018</w:t>
      </w:r>
    </w:p>
    <w:p w:rsidR="008118C8" w:rsidRDefault="008118C8">
      <w:pPr>
        <w:pStyle w:val="BodyText"/>
        <w:spacing w:before="6"/>
        <w:rPr>
          <w:sz w:val="24"/>
        </w:rPr>
      </w:pPr>
    </w:p>
    <w:p w:rsidR="007F33AA" w:rsidRDefault="002E6373" w:rsidP="00D775EF">
      <w:pPr>
        <w:pStyle w:val="Heading1"/>
        <w:jc w:val="both"/>
        <w:rPr>
          <w:w w:val="105"/>
        </w:rPr>
      </w:pPr>
      <w:r>
        <w:rPr>
          <w:w w:val="105"/>
        </w:rPr>
        <w:t>BACKGROUND OF STUDY</w:t>
      </w:r>
    </w:p>
    <w:p w:rsidR="00D775EF" w:rsidRPr="00D775EF" w:rsidRDefault="00D775EF" w:rsidP="00D775EF">
      <w:pPr>
        <w:pStyle w:val="Heading1"/>
        <w:jc w:val="both"/>
        <w:rPr>
          <w:b w:val="0"/>
          <w:w w:val="105"/>
        </w:rPr>
      </w:pPr>
      <w:r w:rsidRPr="00D775EF">
        <w:rPr>
          <w:b w:val="0"/>
          <w:w w:val="105"/>
          <w:lang w:val="en-US"/>
        </w:rPr>
        <w:t xml:space="preserve">Facilities provided in the shopping malls such as parking lots, toilets, changing rooms, breastfeeding rooms, including </w:t>
      </w:r>
      <w:proofErr w:type="spellStart"/>
      <w:r w:rsidRPr="00D775EF">
        <w:rPr>
          <w:b w:val="0"/>
          <w:w w:val="105"/>
          <w:lang w:val="en-US"/>
        </w:rPr>
        <w:t>musholla</w:t>
      </w:r>
      <w:proofErr w:type="spellEnd"/>
      <w:r w:rsidRPr="00D775EF">
        <w:rPr>
          <w:b w:val="0"/>
          <w:w w:val="105"/>
          <w:lang w:val="en-US"/>
        </w:rPr>
        <w:t xml:space="preserve"> are very important that need to be considered by the building management. Ablution area is one of the important areas that are highly accessible in a </w:t>
      </w:r>
      <w:proofErr w:type="spellStart"/>
      <w:r w:rsidRPr="00D775EF">
        <w:rPr>
          <w:b w:val="0"/>
          <w:w w:val="105"/>
          <w:lang w:val="en-US"/>
        </w:rPr>
        <w:t>musholla</w:t>
      </w:r>
      <w:proofErr w:type="spellEnd"/>
      <w:r w:rsidRPr="00D775EF">
        <w:rPr>
          <w:b w:val="0"/>
          <w:w w:val="105"/>
          <w:lang w:val="en-US"/>
        </w:rPr>
        <w:t>. The importance of providing it is also part of Islamic virtue as a Muslim will clean off certain parts of the body in a certain order or in Arabic is called ‘</w:t>
      </w:r>
      <w:proofErr w:type="spellStart"/>
      <w:r w:rsidRPr="00D775EF">
        <w:rPr>
          <w:b w:val="0"/>
          <w:w w:val="105"/>
          <w:lang w:val="en-US"/>
        </w:rPr>
        <w:t>wudhu</w:t>
      </w:r>
      <w:proofErr w:type="spellEnd"/>
      <w:r w:rsidRPr="00D775EF">
        <w:rPr>
          <w:b w:val="0"/>
          <w:w w:val="105"/>
          <w:lang w:val="en-US"/>
        </w:rPr>
        <w:t xml:space="preserve">’ which it is an individual needs to embrace a specific cleansing procedure upon entering </w:t>
      </w:r>
      <w:proofErr w:type="spellStart"/>
      <w:r w:rsidRPr="00D775EF">
        <w:rPr>
          <w:b w:val="0"/>
          <w:w w:val="105"/>
          <w:lang w:val="en-US"/>
        </w:rPr>
        <w:t>solah</w:t>
      </w:r>
      <w:proofErr w:type="spellEnd"/>
      <w:r w:rsidRPr="00D775EF">
        <w:rPr>
          <w:b w:val="0"/>
          <w:w w:val="105"/>
          <w:lang w:val="en-US"/>
        </w:rPr>
        <w:t xml:space="preserve"> </w:t>
      </w:r>
      <w:r w:rsidR="00EE268E" w:rsidRPr="00EE268E">
        <w:rPr>
          <w:b w:val="0"/>
          <w:w w:val="105"/>
          <w:lang w:val="en-US"/>
        </w:rPr>
        <w:fldChar w:fldCharType="begin" w:fldLock="1"/>
      </w:r>
      <w:r w:rsidRPr="00D775EF">
        <w:rPr>
          <w:b w:val="0"/>
          <w:w w:val="105"/>
          <w:lang w:val="en-US"/>
        </w:rPr>
        <w:instrText>ADDIN CSL_CITATION { "citationItems" : [ { "id" : "ITEM-1", "itemData" : { "author" : [ { "dropping-particle" : "", "family" : "Bakar", "given" : "Abu", "non-dropping-particle" : "", "parse-names" : false, "suffix" : "" }, { "dropping-particle" : "", "family" : "Hamid", "given" : "Abd", "non-dropping-particle" : "", "parse-names" : false, "suffix" : "" }, { "dropping-particle" : "", "family" : "Hanif", "given" : "Mohamad", "non-dropping-particle" : "", "parse-names" : false, "suffix" : "" }, { "dropping-particle" : "", "family" : "Wahab", "given" : "Abdul", "non-dropping-particle" : "", "parse-names" : false, "suffix" : "" }, { "dropping-particle" : "", "family" : "Alias", "given" : "Aida", "non-dropping-particle" : "", "parse-names" : false, "suffix" : "" }, { "dropping-particle" : "", "family" : "Rahmat", "given" : "Norashikin", "non-dropping-particle" : "", "parse-names" : false, "suffix" : "" } ], "container-title" : "Proceedings of the 2nd International Colloquium of Art and Design Education Research (i-CADER 2015)", "editor" : [ { "dropping-particle" : "", "family" : "Shahriman Zainal Abidin", "given" : "", "non-dropping-particle" : "", "parse-names" : false, "suffix" : "" }, { "dropping-particle" : "", "family" : "Legino", "given" : "Rafeah", "non-dropping-particle" : "", "parse-names" : false, "suffix" : "" }, { "dropping-particle" : "", "family" : "Noor", "given" : "Harrinni Md", "non-dropping-particle" : "", "parse-names" : false, "suffix" : "" }, { "dropping-particle" : "", "family" : "Vermol", "given" : "Verly Veto", "non-dropping-particle" : "", "parse-names" : false, "suffix" : "" }, { "dropping-particle" : "", "family" : "Rusmadiah", "given" : "Anwar", "non-dropping-particle" : "", "parse-names" : false, "suffix" : "" }, { "dropping-particle" : "", "family" : "Kamaruzaman", "given" : "Muhamad Fairus", "non-dropping-particle" : "", "parse-names" : false, "suffix" : "" } ], "id" : "ITEM-1", "issue" : "October", "issued" : { "date-parts" : [ [ "2015" ] ] }, "page" : "487-496", "publisher" : "Springer", "title" : "Ablution Design : The Concepts and Design Criteria", "type" : "paper-conference" }, "uris" : [ "http://www.mendeley.com/documents/?uuid=596ea1d9-270f-460d-b283-800308d30a08" ] }, { "id" : "ITEM-2", "itemData" : { "DOI" : "10.5539/jsd.v7n6p150", "ISSN" : "1913-9071", "abstract" : "The ablution ritual consumes large amount of water, especially in musollas and mosques, where the greywater is allowed to run free and drain away. As quoted in the Hadith, Prophet Muhammad reminded Muslims to avoid wastage, even when performing the cleansing ritual or ablution prior to prayer. The ritual, locally known as known as wudhu ', requires a Muslim to wash exposed body parts with clean water. In Malaysia, most ablution system consists simply of a row of water taps with a drainage trough to carry the greywater to main drains. As the tap is usually left running, much good water is wasted in the process. Considering the unnecessary wastage, a simple recycling system can be designed to collect, treat and reuse the ablution water within a close-loop system for non-potable water applications, such as toilet flushing, general washing, plants watering and flowerbed cultivation. This approach does not only introduce practical engineering solutions in promoting sustainable living, it is also in-line with the Islamic principles of using natural resources in a prudent manner. By referring the University's own mosque, a study was conducted to develop and verify a conceptual model of the ablution water recycling system, named SmartWUDHU', which fulfills the requirements of Islamic teachings yet viable from the engineering perspective. A simple ablution water output prediction model was next proposed to more accurately quantify the capacity and efficiency of the close-loop water recycling system. Water quality check was also carried out to gauge the effectiveness of treatment against regulated standards as well as religious provisions. The SmartWUDHU' system, retrofitted or installed new, exemplifies a successful merge between engineering know-how and religious doctrines for enhanced quality living now, and into the future.", "author" : [ { "dropping-particle" : "", "family" : "Suratkon", "given" : "Azeanita", "non-dropping-particle" : "", "parse-names" : false, "suffix" : "" }, { "dropping-particle" : "", "family" : "Chan", "given" : "Chee Ming", "non-dropping-particle" : "", "parse-names" : false, "suffix" : "" }, { "dropping-particle" : "", "family" : "Ab Rahman", "given" : "Tengku Syamimi Tuan", "non-dropping-particle" : "", "parse-names" : false, "suffix" : "" } ], "container-title" : "Journal of Sustainable Development", "id" : "ITEM-2", "issue" : "6", "issued" : { "date-parts" : [ [ "2014" ] ] }, "page" : "150-157", "title" : "SmartWUDHU\u2019: Recycling Ablution Water for Sustainable Living in Malaysia", "type" : "article-journal", "volume" : "7" }, "uris" : [ "http://www.mendeley.com/documents/?uuid=84386aca-4187-4393-9d0a-744394329de5" ] } ], "mendeley" : { "formattedCitation" : "(Bakar et al. 2015; Suratkon et al. 2014)", "plainTextFormattedCitation" : "(Bakar et al. 2015; Suratkon et al. 2014)", "previouslyFormattedCitation" : "(Bakar et al. 2015; Suratkon et al. 2014)" }, "properties" : { "noteIndex" : 2 }, "schema" : "https://github.com/citation-style-language/schema/raw/master/csl-citation.json" }</w:instrText>
      </w:r>
      <w:r w:rsidR="00EE268E" w:rsidRPr="00EE268E">
        <w:rPr>
          <w:b w:val="0"/>
          <w:w w:val="105"/>
          <w:lang w:val="en-US"/>
        </w:rPr>
        <w:fldChar w:fldCharType="separate"/>
      </w:r>
      <w:r w:rsidRPr="00D775EF">
        <w:rPr>
          <w:b w:val="0"/>
          <w:w w:val="105"/>
          <w:lang w:val="en-US"/>
        </w:rPr>
        <w:t>(</w:t>
      </w:r>
      <w:proofErr w:type="spellStart"/>
      <w:r w:rsidRPr="00D775EF">
        <w:rPr>
          <w:b w:val="0"/>
          <w:w w:val="105"/>
          <w:lang w:val="en-US"/>
        </w:rPr>
        <w:t>Bakar</w:t>
      </w:r>
      <w:proofErr w:type="spellEnd"/>
      <w:r w:rsidRPr="00D775EF">
        <w:rPr>
          <w:b w:val="0"/>
          <w:w w:val="105"/>
          <w:lang w:val="en-US"/>
        </w:rPr>
        <w:t xml:space="preserve"> et al. 2015; Suratkon et al. 2014)</w:t>
      </w:r>
      <w:r w:rsidR="00EE268E" w:rsidRPr="00D775EF">
        <w:rPr>
          <w:b w:val="0"/>
          <w:w w:val="105"/>
        </w:rPr>
        <w:fldChar w:fldCharType="end"/>
      </w:r>
      <w:r w:rsidRPr="00D775EF">
        <w:rPr>
          <w:b w:val="0"/>
          <w:w w:val="105"/>
          <w:lang w:val="en-US"/>
        </w:rPr>
        <w:t xml:space="preserve">. </w:t>
      </w:r>
      <w:proofErr w:type="spellStart"/>
      <w:r w:rsidRPr="00D775EF">
        <w:rPr>
          <w:b w:val="0"/>
          <w:w w:val="105"/>
          <w:lang w:val="en-US"/>
        </w:rPr>
        <w:t>Solah</w:t>
      </w:r>
      <w:proofErr w:type="spellEnd"/>
      <w:r w:rsidRPr="00D775EF">
        <w:rPr>
          <w:b w:val="0"/>
          <w:w w:val="105"/>
          <w:lang w:val="en-US"/>
        </w:rPr>
        <w:t xml:space="preserve"> without </w:t>
      </w:r>
      <w:proofErr w:type="spellStart"/>
      <w:r w:rsidRPr="00D775EF">
        <w:rPr>
          <w:b w:val="0"/>
          <w:w w:val="105"/>
          <w:lang w:val="en-US"/>
        </w:rPr>
        <w:t>wudhu</w:t>
      </w:r>
      <w:proofErr w:type="spellEnd"/>
      <w:r w:rsidRPr="00D775EF">
        <w:rPr>
          <w:b w:val="0"/>
          <w:w w:val="105"/>
          <w:lang w:val="en-US"/>
        </w:rPr>
        <w:t xml:space="preserve">’ would not be acceptable in the sight of Allah SWT (Abu </w:t>
      </w:r>
      <w:proofErr w:type="spellStart"/>
      <w:r w:rsidRPr="00D775EF">
        <w:rPr>
          <w:b w:val="0"/>
          <w:w w:val="105"/>
          <w:lang w:val="en-US"/>
        </w:rPr>
        <w:t>Ubaida</w:t>
      </w:r>
      <w:proofErr w:type="spellEnd"/>
      <w:r w:rsidRPr="00D775EF">
        <w:rPr>
          <w:b w:val="0"/>
          <w:w w:val="105"/>
          <w:lang w:val="en-US"/>
        </w:rPr>
        <w:t xml:space="preserve">, 2013). </w:t>
      </w:r>
      <w:r w:rsidRPr="00D775EF">
        <w:rPr>
          <w:b w:val="0"/>
          <w:w w:val="105"/>
        </w:rPr>
        <w:t xml:space="preserve">In many Islamic countries including Malaysia, there are neither guidelines nor standard in designing an ablution area. Some of the spaces are designed and constructed based on the existing ablution area. However their understanding on the elements and concept of ablution in Islam is doubtful (Abu </w:t>
      </w:r>
      <w:proofErr w:type="spellStart"/>
      <w:r w:rsidRPr="00D775EF">
        <w:rPr>
          <w:b w:val="0"/>
          <w:w w:val="105"/>
        </w:rPr>
        <w:t>Bakar</w:t>
      </w:r>
      <w:proofErr w:type="spellEnd"/>
      <w:r w:rsidRPr="00D775EF">
        <w:rPr>
          <w:b w:val="0"/>
          <w:w w:val="105"/>
        </w:rPr>
        <w:t xml:space="preserve"> et al., 2015). Therefore, </w:t>
      </w:r>
      <w:fldSimple w:instr=" REF _Ref494715722 \h  \* MERGEFORMAT ">
        <w:r w:rsidRPr="00D775EF">
          <w:rPr>
            <w:b w:val="0"/>
            <w:w w:val="105"/>
          </w:rPr>
          <w:t>Table 1</w:t>
        </w:r>
      </w:fldSimple>
      <w:r w:rsidRPr="00D775EF">
        <w:rPr>
          <w:b w:val="0"/>
          <w:w w:val="105"/>
        </w:rPr>
        <w:t xml:space="preserve"> summarized few issues and problems in ablution design. </w:t>
      </w:r>
    </w:p>
    <w:p w:rsidR="00D775EF" w:rsidRPr="00D775EF" w:rsidRDefault="00D775EF" w:rsidP="00D775EF">
      <w:pPr>
        <w:pStyle w:val="Heading1"/>
        <w:jc w:val="both"/>
        <w:rPr>
          <w:b w:val="0"/>
          <w:w w:val="105"/>
        </w:rPr>
      </w:pPr>
    </w:p>
    <w:p w:rsidR="00D775EF" w:rsidRPr="00D775EF" w:rsidRDefault="00D775EF" w:rsidP="00D775EF">
      <w:pPr>
        <w:pStyle w:val="Heading1"/>
        <w:jc w:val="center"/>
        <w:rPr>
          <w:b w:val="0"/>
          <w:w w:val="105"/>
        </w:rPr>
      </w:pPr>
      <w:bookmarkStart w:id="1" w:name="_Ref494715722"/>
      <w:r w:rsidRPr="00D775EF">
        <w:rPr>
          <w:b w:val="0"/>
          <w:w w:val="105"/>
        </w:rPr>
        <w:t xml:space="preserve">Table </w:t>
      </w:r>
      <w:r w:rsidR="00EE268E" w:rsidRPr="00D775EF">
        <w:rPr>
          <w:b w:val="0"/>
          <w:w w:val="105"/>
        </w:rPr>
        <w:fldChar w:fldCharType="begin"/>
      </w:r>
      <w:r w:rsidRPr="00D775EF">
        <w:rPr>
          <w:b w:val="0"/>
          <w:w w:val="105"/>
        </w:rPr>
        <w:instrText xml:space="preserve"> SEQ Table \* ARABIC </w:instrText>
      </w:r>
      <w:r w:rsidR="00EE268E" w:rsidRPr="00D775EF">
        <w:rPr>
          <w:b w:val="0"/>
          <w:w w:val="105"/>
        </w:rPr>
        <w:fldChar w:fldCharType="separate"/>
      </w:r>
      <w:r w:rsidRPr="00D775EF">
        <w:rPr>
          <w:b w:val="0"/>
          <w:w w:val="105"/>
        </w:rPr>
        <w:t>1</w:t>
      </w:r>
      <w:r w:rsidR="00EE268E" w:rsidRPr="00D775EF">
        <w:rPr>
          <w:b w:val="0"/>
          <w:w w:val="105"/>
        </w:rPr>
        <w:fldChar w:fldCharType="end"/>
      </w:r>
      <w:bookmarkEnd w:id="1"/>
      <w:r w:rsidRPr="00D775EF">
        <w:rPr>
          <w:b w:val="0"/>
          <w:w w:val="105"/>
        </w:rPr>
        <w:t>: Issues and problems in ablution design</w:t>
      </w:r>
    </w:p>
    <w:tbl>
      <w:tblPr>
        <w:tblW w:w="0" w:type="auto"/>
        <w:tblLook w:val="04A0"/>
      </w:tblPr>
      <w:tblGrid>
        <w:gridCol w:w="1908"/>
        <w:gridCol w:w="3906"/>
        <w:gridCol w:w="2907"/>
      </w:tblGrid>
      <w:tr w:rsidR="00D775EF" w:rsidRPr="00D775EF" w:rsidTr="00F86E3F">
        <w:tc>
          <w:tcPr>
            <w:tcW w:w="1908" w:type="dxa"/>
            <w:tcBorders>
              <w:top w:val="single" w:sz="4" w:space="0" w:color="auto"/>
              <w:bottom w:val="single" w:sz="4" w:space="0" w:color="auto"/>
            </w:tcBorders>
            <w:shd w:val="clear" w:color="auto" w:fill="auto"/>
          </w:tcPr>
          <w:p w:rsidR="00D775EF" w:rsidRPr="00D775EF" w:rsidRDefault="00D775EF" w:rsidP="00D775EF">
            <w:pPr>
              <w:pStyle w:val="Heading1"/>
              <w:rPr>
                <w:b w:val="0"/>
                <w:w w:val="105"/>
              </w:rPr>
            </w:pPr>
            <w:r w:rsidRPr="00D775EF">
              <w:rPr>
                <w:b w:val="0"/>
                <w:w w:val="105"/>
              </w:rPr>
              <w:t>Variables</w:t>
            </w:r>
          </w:p>
        </w:tc>
        <w:tc>
          <w:tcPr>
            <w:tcW w:w="3906" w:type="dxa"/>
            <w:tcBorders>
              <w:top w:val="single" w:sz="4" w:space="0" w:color="auto"/>
              <w:bottom w:val="single" w:sz="4" w:space="0" w:color="auto"/>
            </w:tcBorders>
            <w:shd w:val="clear" w:color="auto" w:fill="auto"/>
          </w:tcPr>
          <w:p w:rsidR="00D775EF" w:rsidRPr="00D775EF" w:rsidRDefault="00D775EF" w:rsidP="00D775EF">
            <w:pPr>
              <w:pStyle w:val="Heading1"/>
              <w:rPr>
                <w:b w:val="0"/>
                <w:w w:val="105"/>
              </w:rPr>
            </w:pPr>
            <w:r w:rsidRPr="00D775EF">
              <w:rPr>
                <w:b w:val="0"/>
                <w:w w:val="105"/>
              </w:rPr>
              <w:t>Issues</w:t>
            </w:r>
          </w:p>
        </w:tc>
        <w:tc>
          <w:tcPr>
            <w:tcW w:w="2907" w:type="dxa"/>
            <w:tcBorders>
              <w:top w:val="single" w:sz="4" w:space="0" w:color="auto"/>
              <w:bottom w:val="single" w:sz="4" w:space="0" w:color="auto"/>
            </w:tcBorders>
            <w:shd w:val="clear" w:color="auto" w:fill="auto"/>
          </w:tcPr>
          <w:p w:rsidR="00D775EF" w:rsidRPr="00D775EF" w:rsidRDefault="00D775EF" w:rsidP="00D775EF">
            <w:pPr>
              <w:pStyle w:val="Heading1"/>
              <w:rPr>
                <w:b w:val="0"/>
                <w:w w:val="105"/>
              </w:rPr>
            </w:pPr>
            <w:r w:rsidRPr="00D775EF">
              <w:rPr>
                <w:b w:val="0"/>
                <w:w w:val="105"/>
              </w:rPr>
              <w:t>Authors</w:t>
            </w:r>
          </w:p>
        </w:tc>
      </w:tr>
      <w:tr w:rsidR="00D775EF" w:rsidRPr="00D775EF" w:rsidTr="00F86E3F">
        <w:tc>
          <w:tcPr>
            <w:tcW w:w="1908" w:type="dxa"/>
            <w:vMerge w:val="restart"/>
            <w:tcBorders>
              <w:top w:val="single" w:sz="4" w:space="0" w:color="auto"/>
            </w:tcBorders>
            <w:shd w:val="clear" w:color="auto" w:fill="auto"/>
          </w:tcPr>
          <w:p w:rsidR="00D775EF" w:rsidRPr="00D775EF" w:rsidRDefault="00D775EF" w:rsidP="00D775EF">
            <w:pPr>
              <w:pStyle w:val="Heading1"/>
              <w:rPr>
                <w:b w:val="0"/>
                <w:w w:val="105"/>
              </w:rPr>
            </w:pPr>
            <w:r w:rsidRPr="00D775EF">
              <w:rPr>
                <w:b w:val="0"/>
                <w:w w:val="105"/>
              </w:rPr>
              <w:t>Size</w:t>
            </w:r>
          </w:p>
        </w:tc>
        <w:tc>
          <w:tcPr>
            <w:tcW w:w="3906" w:type="dxa"/>
            <w:tcBorders>
              <w:top w:val="single" w:sz="4" w:space="0" w:color="auto"/>
            </w:tcBorders>
            <w:shd w:val="clear" w:color="auto" w:fill="auto"/>
          </w:tcPr>
          <w:p w:rsidR="00D775EF" w:rsidRPr="00D775EF" w:rsidRDefault="00D775EF" w:rsidP="00D775EF">
            <w:pPr>
              <w:pStyle w:val="Heading1"/>
              <w:rPr>
                <w:b w:val="0"/>
                <w:w w:val="105"/>
              </w:rPr>
            </w:pPr>
            <w:r w:rsidRPr="00D775EF">
              <w:rPr>
                <w:b w:val="0"/>
                <w:w w:val="105"/>
              </w:rPr>
              <w:t>Insufficient size of the ablution area and narrow space when taking ablution</w:t>
            </w:r>
          </w:p>
        </w:tc>
        <w:tc>
          <w:tcPr>
            <w:tcW w:w="2907" w:type="dxa"/>
            <w:tcBorders>
              <w:top w:val="single" w:sz="4" w:space="0" w:color="auto"/>
            </w:tcBorders>
            <w:shd w:val="clear" w:color="auto" w:fill="auto"/>
          </w:tcPr>
          <w:p w:rsidR="00D775EF" w:rsidRPr="00D775EF" w:rsidRDefault="00D775EF" w:rsidP="00D775EF">
            <w:pPr>
              <w:pStyle w:val="Heading1"/>
              <w:rPr>
                <w:b w:val="0"/>
                <w:w w:val="105"/>
              </w:rPr>
            </w:pPr>
            <w:r w:rsidRPr="00D775EF">
              <w:rPr>
                <w:b w:val="0"/>
                <w:w w:val="105"/>
              </w:rPr>
              <w:t xml:space="preserve">Abu </w:t>
            </w:r>
            <w:proofErr w:type="spellStart"/>
            <w:r w:rsidRPr="00D775EF">
              <w:rPr>
                <w:b w:val="0"/>
                <w:w w:val="105"/>
              </w:rPr>
              <w:t>Bakar</w:t>
            </w:r>
            <w:proofErr w:type="spellEnd"/>
            <w:r w:rsidRPr="00D775EF">
              <w:rPr>
                <w:b w:val="0"/>
                <w:w w:val="105"/>
              </w:rPr>
              <w:t xml:space="preserve"> et al. (2015)</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Inconsistent ratio between the size of the prayer room and ablution. Ratio must be based on </w:t>
            </w:r>
            <w:r w:rsidRPr="00D775EF">
              <w:rPr>
                <w:b w:val="0"/>
                <w:w w:val="105"/>
                <w:lang w:val="en-US"/>
              </w:rPr>
              <w:t>the built up area of the shopping complex</w:t>
            </w:r>
            <w:r w:rsidRPr="00D775EF">
              <w:rPr>
                <w:b w:val="0"/>
                <w:w w:val="105"/>
              </w:rPr>
              <w:t xml:space="preserve"> </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Maamor</w:t>
            </w:r>
            <w:proofErr w:type="spellEnd"/>
            <w:r w:rsidRPr="00D775EF">
              <w:rPr>
                <w:b w:val="0"/>
                <w:w w:val="105"/>
              </w:rPr>
              <w:t xml:space="preserve"> in </w:t>
            </w:r>
            <w:proofErr w:type="spellStart"/>
            <w:r w:rsidRPr="00D775EF">
              <w:rPr>
                <w:b w:val="0"/>
                <w:w w:val="105"/>
              </w:rPr>
              <w:t>Nizam</w:t>
            </w:r>
            <w:proofErr w:type="spellEnd"/>
            <w:r w:rsidRPr="00D775EF">
              <w:rPr>
                <w:b w:val="0"/>
                <w:w w:val="105"/>
              </w:rPr>
              <w:t xml:space="preserve"> </w:t>
            </w:r>
            <w:proofErr w:type="spellStart"/>
            <w:r w:rsidRPr="00D775EF">
              <w:rPr>
                <w:b w:val="0"/>
                <w:w w:val="105"/>
              </w:rPr>
              <w:t>Yatim</w:t>
            </w:r>
            <w:proofErr w:type="spellEnd"/>
            <w:r w:rsidRPr="00D775EF">
              <w:rPr>
                <w:b w:val="0"/>
                <w:w w:val="105"/>
              </w:rPr>
              <w:t xml:space="preserve">, (2013),  </w:t>
            </w:r>
            <w:r w:rsidR="00EE268E" w:rsidRPr="00EE268E">
              <w:rPr>
                <w:b w:val="0"/>
                <w:w w:val="105"/>
                <w:lang w:val="en-US"/>
              </w:rPr>
              <w:fldChar w:fldCharType="begin" w:fldLock="1"/>
            </w:r>
            <w:r w:rsidRPr="00D775EF">
              <w:rPr>
                <w:b w:val="0"/>
                <w:w w:val="105"/>
                <w:lang w:val="en-US"/>
              </w:rPr>
              <w:instrText>ADDIN CSL_CITATION { "citationItems" : [ { "id" : "ITEM-1", "itemData" : { "author" : [ { "dropping-particle" : "", "family" : "Hamid", "given" : "A B Abd", "non-dropping-particle" : "", "parse-names" : false, "suffix" : "" }, { "dropping-particle" : "", "family" : "Taib", "given" : "M Z Mohd", "non-dropping-particle" : "", "parse-names" : false, "suffix" : "" }, { "dropping-particle" : "", "family" : "Wahab", "given" : "M H Abdul", "non-dropping-particle" : "", "parse-names" : false, "suffix" : "" }, { "dropping-particle" : "", "family" : "Alias", "given" : "A", "non-dropping-particle" : "", "parse-names" : false, "suffix" : "" }, { "dropping-particle" : "", "family" : "Rahmat", "given" : "N", "non-dropping-particle" : "", "parse-names" : false, "suffix" : "" } ], "container-title" : "Proceedings of the 2nd International Colloquium of Art and Design Education Research (i-CADER 2015)", "editor" : [ { "dropping-particle" : "", "family" : "Abidin", "given" : "Shahriman Zainal", "non-dropping-particle" : "", "parse-names" : false, "suffix" : "" }, { "dropping-particle" : "", "family" : "Legino", "given" : "Rafeah", "non-dropping-particle" : "", "parse-names" : false, "suffix" : "" }, { "dropping-particle" : "", "family" : "Noor", "given" : "Harrinni Md", "non-dropping-particle" : "", "parse-names" : false, "suffix" : "" }, { "dropping-particle" : "", "family" : "Vermol", "given" : "Verly Veto", "non-dropping-particle" : "", "parse-names" : false, "suffix" : "" }, { "dropping-particle" : "", "family" : "Rusmadiah", "given" : "Anwar", "non-dropping-particle" : "", "parse-names" : false, "suffix" : "" }, { "dropping-particle" : "", "family" : "Kamaruzaman", "given" : "Muhamad Fairus", "non-dropping-particle" : "", "parse-names" : false, "suffix" : "" } ], "id" : "ITEM-1", "issue" : "November", "issued" : { "date-parts" : [ [ "2016" ] ] }, "page" : "521-532", "publisher" : "Springer", "publisher-place" : "Singapore", "title" : "The Significance of Prayer Room Design Standards at Shopping Complex", "type" : "paper-conference" }, "uris" : [ "http://www.mendeley.com/documents/?uuid=04dd792a-7c5e-4052-b831-2a9971097c1d" ] } ], "mendeley" : { "formattedCitation" : "(Hamid et al. 2016)", "plainTextFormattedCitation" : "(Hamid et al. 2016)", "previouslyFormattedCitation" : "(Hamid et al. 2016)" }, "properties" : { "noteIndex" : 0 }, "schema" : "https://github.com/citation-style-language/schema/raw/master/csl-citation.json" }</w:instrText>
            </w:r>
            <w:r w:rsidR="00EE268E" w:rsidRPr="00EE268E">
              <w:rPr>
                <w:b w:val="0"/>
                <w:w w:val="105"/>
                <w:lang w:val="en-US"/>
              </w:rPr>
              <w:fldChar w:fldCharType="separate"/>
            </w:r>
            <w:r w:rsidRPr="00D775EF">
              <w:rPr>
                <w:b w:val="0"/>
                <w:w w:val="105"/>
                <w:lang w:val="en-US"/>
              </w:rPr>
              <w:t>(Hamid et al. 2016)</w:t>
            </w:r>
            <w:r w:rsidR="00EE268E" w:rsidRPr="00D775EF">
              <w:rPr>
                <w:b w:val="0"/>
                <w:w w:val="105"/>
              </w:rPr>
              <w:fldChar w:fldCharType="end"/>
            </w:r>
            <w:r w:rsidRPr="00D775EF">
              <w:rPr>
                <w:b w:val="0"/>
                <w:w w:val="105"/>
                <w:lang w:val="en-US"/>
              </w:rPr>
              <w:t>)</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lang w:val="en-US"/>
              </w:rPr>
              <w:t>Long queued during peak hours and demand overflow due to overcrowd</w:t>
            </w:r>
          </w:p>
        </w:tc>
        <w:tc>
          <w:tcPr>
            <w:tcW w:w="2907" w:type="dxa"/>
            <w:shd w:val="clear" w:color="auto" w:fill="auto"/>
          </w:tcPr>
          <w:p w:rsidR="00D775EF" w:rsidRPr="00D775EF" w:rsidRDefault="00EE268E" w:rsidP="00D775EF">
            <w:pPr>
              <w:pStyle w:val="Heading1"/>
              <w:rPr>
                <w:b w:val="0"/>
                <w:w w:val="105"/>
              </w:rPr>
            </w:pPr>
            <w:r w:rsidRPr="00EE268E">
              <w:rPr>
                <w:b w:val="0"/>
                <w:w w:val="105"/>
                <w:lang w:val="en-US"/>
              </w:rPr>
              <w:fldChar w:fldCharType="begin" w:fldLock="1"/>
            </w:r>
            <w:r w:rsidR="00D775EF" w:rsidRPr="00D775EF">
              <w:rPr>
                <w:b w:val="0"/>
                <w:w w:val="105"/>
                <w:lang w:val="en-US"/>
              </w:rPr>
              <w:instrText>ADDIN CSL_CITATION { "citationItems" : [ { "id" : "ITEM-1", "itemData" : { "author" : [ { "dropping-particle" : "", "family" : "Hamid", "given" : "A B Abd", "non-dropping-particle" : "", "parse-names" : false, "suffix" : "" }, { "dropping-particle" : "", "family" : "Taib", "given" : "M Z Mohd", "non-dropping-particle" : "", "parse-names" : false, "suffix" : "" }, { "dropping-particle" : "", "family" : "Wahab", "given" : "M H Abdul", "non-dropping-particle" : "", "parse-names" : false, "suffix" : "" }, { "dropping-particle" : "", "family" : "Alias", "given" : "A", "non-dropping-particle" : "", "parse-names" : false, "suffix" : "" }, { "dropping-particle" : "", "family" : "Rahmat", "given" : "N", "non-dropping-particle" : "", "parse-names" : false, "suffix" : "" } ], "container-title" : "Proceedings of the 2nd International Colloquium of Art and Design Education Research (i-CADER 2015)", "editor" : [ { "dropping-particle" : "", "family" : "Abidin", "given" : "Shahriman Zainal", "non-dropping-particle" : "", "parse-names" : false, "suffix" : "" }, { "dropping-particle" : "", "family" : "Legino", "given" : "Rafeah", "non-dropping-particle" : "", "parse-names" : false, "suffix" : "" }, { "dropping-particle" : "", "family" : "Noor", "given" : "Harrinni Md", "non-dropping-particle" : "", "parse-names" : false, "suffix" : "" }, { "dropping-particle" : "", "family" : "Vermol", "given" : "Verly Veto", "non-dropping-particle" : "", "parse-names" : false, "suffix" : "" }, { "dropping-particle" : "", "family" : "Rusmadiah", "given" : "Anwar", "non-dropping-particle" : "", "parse-names" : false, "suffix" : "" }, { "dropping-particle" : "", "family" : "Kamaruzaman", "given" : "Muhamad Fairus", "non-dropping-particle" : "", "parse-names" : false, "suffix" : "" } ], "id" : "ITEM-1", "issue" : "November", "issued" : { "date-parts" : [ [ "2016" ] ] }, "page" : "521-532", "publisher" : "Springer", "publisher-place" : "Singapore", "title" : "The Significance of Prayer Room Design Standards at Shopping Complex", "type" : "paper-conference" }, "uris" : [ "http://www.mendeley.com/documents/?uuid=04dd792a-7c5e-4052-b831-2a9971097c1d" ] } ], "mendeley" : { "formattedCitation" : "(Hamid et al. 2016)", "manualFormatting" : "Hamid et al. (2016)", "plainTextFormattedCitation" : "(Hamid et al. 2016)", "previouslyFormattedCitation" : "(Hamid et al. 2016)" }, "properties" : { "noteIndex" : 0 }, "schema" : "https://github.com/citation-style-language/schema/raw/master/csl-citation.json" }</w:instrText>
            </w:r>
            <w:r w:rsidRPr="00EE268E">
              <w:rPr>
                <w:b w:val="0"/>
                <w:w w:val="105"/>
                <w:lang w:val="en-US"/>
              </w:rPr>
              <w:fldChar w:fldCharType="separate"/>
            </w:r>
            <w:r w:rsidR="00D775EF" w:rsidRPr="00D775EF">
              <w:rPr>
                <w:b w:val="0"/>
                <w:w w:val="105"/>
                <w:lang w:val="en-US"/>
              </w:rPr>
              <w:t>Hamid et al. (2016)</w:t>
            </w:r>
            <w:r w:rsidRPr="00D775EF">
              <w:rPr>
                <w:b w:val="0"/>
                <w:w w:val="105"/>
              </w:rPr>
              <w:fldChar w:fldCharType="end"/>
            </w:r>
          </w:p>
        </w:tc>
      </w:tr>
      <w:tr w:rsidR="00D775EF" w:rsidRPr="00D775EF" w:rsidTr="00F86E3F">
        <w:tc>
          <w:tcPr>
            <w:tcW w:w="1908" w:type="dxa"/>
            <w:vMerge w:val="restart"/>
            <w:shd w:val="clear" w:color="auto" w:fill="auto"/>
          </w:tcPr>
          <w:p w:rsidR="00D775EF" w:rsidRPr="00D775EF" w:rsidRDefault="00D775EF" w:rsidP="00D775EF">
            <w:pPr>
              <w:pStyle w:val="Heading1"/>
              <w:rPr>
                <w:b w:val="0"/>
                <w:w w:val="105"/>
              </w:rPr>
            </w:pPr>
            <w:r w:rsidRPr="00D775EF">
              <w:rPr>
                <w:b w:val="0"/>
                <w:w w:val="105"/>
              </w:rPr>
              <w:t xml:space="preserve">Comfort and safety </w:t>
            </w: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Can cause discomfort in using the space and constitute a safety hazard </w:t>
            </w:r>
          </w:p>
        </w:tc>
        <w:tc>
          <w:tcPr>
            <w:tcW w:w="2907" w:type="dxa"/>
            <w:shd w:val="clear" w:color="auto" w:fill="auto"/>
          </w:tcPr>
          <w:p w:rsidR="00D775EF" w:rsidRPr="00D775EF" w:rsidRDefault="00D775EF" w:rsidP="00D775EF">
            <w:pPr>
              <w:pStyle w:val="Heading1"/>
              <w:rPr>
                <w:b w:val="0"/>
                <w:w w:val="105"/>
              </w:rPr>
            </w:pPr>
            <w:r w:rsidRPr="00D775EF">
              <w:rPr>
                <w:b w:val="0"/>
                <w:w w:val="105"/>
              </w:rPr>
              <w:t>Hilliard et al., (1999)</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Injuries can occur during taking ablution such as back pain and slip </w:t>
            </w:r>
          </w:p>
        </w:tc>
        <w:tc>
          <w:tcPr>
            <w:tcW w:w="2907" w:type="dxa"/>
            <w:shd w:val="clear" w:color="auto" w:fill="auto"/>
          </w:tcPr>
          <w:p w:rsidR="00D775EF" w:rsidRPr="00D775EF" w:rsidRDefault="00D775EF" w:rsidP="00D775EF">
            <w:pPr>
              <w:pStyle w:val="Heading1"/>
              <w:rPr>
                <w:b w:val="0"/>
                <w:w w:val="105"/>
              </w:rPr>
            </w:pPr>
            <w:r w:rsidRPr="00D775EF">
              <w:rPr>
                <w:b w:val="0"/>
                <w:w w:val="105"/>
              </w:rPr>
              <w:t xml:space="preserve">Boy </w:t>
            </w:r>
            <w:proofErr w:type="spellStart"/>
            <w:r w:rsidRPr="00D775EF">
              <w:rPr>
                <w:b w:val="0"/>
                <w:w w:val="105"/>
              </w:rPr>
              <w:t>Nurtjahyo</w:t>
            </w:r>
            <w:proofErr w:type="spellEnd"/>
            <w:r w:rsidRPr="00D775EF">
              <w:rPr>
                <w:b w:val="0"/>
                <w:w w:val="105"/>
              </w:rPr>
              <w:t xml:space="preserve"> M., (2013)</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Not dirt-free and slippery </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Hamzah</w:t>
            </w:r>
            <w:proofErr w:type="spellEnd"/>
            <w:r w:rsidRPr="00D775EF">
              <w:rPr>
                <w:b w:val="0"/>
                <w:w w:val="105"/>
              </w:rPr>
              <w:t>, et al (2015)</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Gender separation need to adhere but the routes connecting to ablution and praying area still connected. </w:t>
            </w:r>
          </w:p>
        </w:tc>
        <w:tc>
          <w:tcPr>
            <w:tcW w:w="2907" w:type="dxa"/>
            <w:shd w:val="clear" w:color="auto" w:fill="auto"/>
          </w:tcPr>
          <w:p w:rsidR="00D775EF" w:rsidRPr="00D775EF" w:rsidRDefault="00D775EF" w:rsidP="00D775EF">
            <w:pPr>
              <w:pStyle w:val="Heading1"/>
              <w:rPr>
                <w:b w:val="0"/>
                <w:w w:val="105"/>
                <w:lang w:val="en-US"/>
              </w:rPr>
            </w:pPr>
            <w:proofErr w:type="spellStart"/>
            <w:r w:rsidRPr="00D775EF">
              <w:rPr>
                <w:b w:val="0"/>
                <w:w w:val="105"/>
                <w:lang w:val="en-US"/>
              </w:rPr>
              <w:t>Mokhtar</w:t>
            </w:r>
            <w:proofErr w:type="spellEnd"/>
            <w:r w:rsidRPr="00D775EF">
              <w:rPr>
                <w:b w:val="0"/>
                <w:w w:val="105"/>
                <w:lang w:val="en-US"/>
              </w:rPr>
              <w:t>, A. (2005)</w:t>
            </w:r>
          </w:p>
        </w:tc>
      </w:tr>
      <w:tr w:rsidR="00D775EF" w:rsidRPr="00D775EF" w:rsidTr="00F86E3F">
        <w:tc>
          <w:tcPr>
            <w:tcW w:w="1908" w:type="dxa"/>
            <w:vMerge w:val="restart"/>
            <w:shd w:val="clear" w:color="auto" w:fill="auto"/>
          </w:tcPr>
          <w:p w:rsidR="00D775EF" w:rsidRPr="00D775EF" w:rsidRDefault="00D775EF" w:rsidP="00D775EF">
            <w:pPr>
              <w:pStyle w:val="Heading1"/>
              <w:rPr>
                <w:b w:val="0"/>
                <w:w w:val="105"/>
              </w:rPr>
            </w:pPr>
            <w:r w:rsidRPr="00D775EF">
              <w:rPr>
                <w:b w:val="0"/>
                <w:w w:val="105"/>
              </w:rPr>
              <w:t xml:space="preserve">Water </w:t>
            </w: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Water splashed during </w:t>
            </w:r>
            <w:proofErr w:type="spellStart"/>
            <w:r w:rsidRPr="00D775EF">
              <w:rPr>
                <w:b w:val="0"/>
                <w:w w:val="105"/>
              </w:rPr>
              <w:t>wudhu</w:t>
            </w:r>
            <w:proofErr w:type="spellEnd"/>
            <w:r w:rsidRPr="00D775EF">
              <w:rPr>
                <w:b w:val="0"/>
                <w:w w:val="105"/>
              </w:rPr>
              <w:t>’</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Syah</w:t>
            </w:r>
            <w:proofErr w:type="spellEnd"/>
            <w:r w:rsidRPr="00D775EF">
              <w:rPr>
                <w:b w:val="0"/>
                <w:w w:val="105"/>
              </w:rPr>
              <w:t xml:space="preserve">, M.A. &amp; </w:t>
            </w:r>
            <w:proofErr w:type="spellStart"/>
            <w:r w:rsidRPr="00D775EF">
              <w:rPr>
                <w:b w:val="0"/>
                <w:w w:val="105"/>
              </w:rPr>
              <w:t>Jasmi</w:t>
            </w:r>
            <w:proofErr w:type="spellEnd"/>
            <w:r w:rsidRPr="00D775EF">
              <w:rPr>
                <w:b w:val="0"/>
                <w:w w:val="105"/>
              </w:rPr>
              <w:t>, K. A. (2008)</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Water overflow and get puddle due to insufficient different floor level, gradient and proper drainage</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Rahim</w:t>
            </w:r>
            <w:proofErr w:type="spellEnd"/>
            <w:r w:rsidRPr="00D775EF">
              <w:rPr>
                <w:b w:val="0"/>
                <w:w w:val="105"/>
              </w:rPr>
              <w:t>, A. A. et al. (2014)</w:t>
            </w:r>
          </w:p>
        </w:tc>
      </w:tr>
      <w:tr w:rsidR="00D775EF" w:rsidRPr="00D775EF" w:rsidTr="00F86E3F">
        <w:tc>
          <w:tcPr>
            <w:tcW w:w="1908" w:type="dxa"/>
            <w:vMerge w:val="restart"/>
            <w:shd w:val="clear" w:color="auto" w:fill="auto"/>
          </w:tcPr>
          <w:p w:rsidR="00D775EF" w:rsidRPr="00D775EF" w:rsidRDefault="00D775EF" w:rsidP="00D775EF">
            <w:pPr>
              <w:pStyle w:val="Heading1"/>
              <w:rPr>
                <w:b w:val="0"/>
                <w:w w:val="105"/>
              </w:rPr>
            </w:pPr>
            <w:r w:rsidRPr="00D775EF">
              <w:rPr>
                <w:b w:val="0"/>
                <w:w w:val="105"/>
              </w:rPr>
              <w:t>Guideline and standard</w:t>
            </w:r>
          </w:p>
        </w:tc>
        <w:tc>
          <w:tcPr>
            <w:tcW w:w="3906" w:type="dxa"/>
            <w:shd w:val="clear" w:color="auto" w:fill="auto"/>
          </w:tcPr>
          <w:p w:rsidR="00D775EF" w:rsidRPr="00D775EF" w:rsidRDefault="00D775EF" w:rsidP="00D775EF">
            <w:pPr>
              <w:pStyle w:val="Heading1"/>
              <w:rPr>
                <w:b w:val="0"/>
                <w:w w:val="105"/>
              </w:rPr>
            </w:pPr>
            <w:r w:rsidRPr="00D775EF">
              <w:rPr>
                <w:b w:val="0"/>
                <w:w w:val="105"/>
              </w:rPr>
              <w:t>Insufficient to support designers with minimum acceptable design</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Mokhtar</w:t>
            </w:r>
            <w:proofErr w:type="spellEnd"/>
            <w:r w:rsidRPr="00D775EF">
              <w:rPr>
                <w:b w:val="0"/>
                <w:w w:val="105"/>
              </w:rPr>
              <w:t>, A. (2003)</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Inconsistent ratio between the size of the prayer room and ablution</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Maamor</w:t>
            </w:r>
            <w:proofErr w:type="spellEnd"/>
            <w:r w:rsidRPr="00D775EF">
              <w:rPr>
                <w:b w:val="0"/>
                <w:w w:val="105"/>
              </w:rPr>
              <w:t xml:space="preserve"> in </w:t>
            </w:r>
            <w:proofErr w:type="spellStart"/>
            <w:r w:rsidRPr="00D775EF">
              <w:rPr>
                <w:b w:val="0"/>
                <w:w w:val="105"/>
              </w:rPr>
              <w:t>Nizam</w:t>
            </w:r>
            <w:proofErr w:type="spellEnd"/>
            <w:r w:rsidRPr="00D775EF">
              <w:rPr>
                <w:b w:val="0"/>
                <w:w w:val="105"/>
              </w:rPr>
              <w:t xml:space="preserve"> </w:t>
            </w:r>
            <w:proofErr w:type="spellStart"/>
            <w:r w:rsidRPr="00D775EF">
              <w:rPr>
                <w:b w:val="0"/>
                <w:w w:val="105"/>
              </w:rPr>
              <w:t>Yatim</w:t>
            </w:r>
            <w:proofErr w:type="spellEnd"/>
            <w:r w:rsidRPr="00D775EF">
              <w:rPr>
                <w:b w:val="0"/>
                <w:w w:val="105"/>
              </w:rPr>
              <w:t xml:space="preserve"> (2013)</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Suggestion </w:t>
            </w:r>
            <w:r w:rsidRPr="00D775EF">
              <w:rPr>
                <w:b w:val="0"/>
                <w:w w:val="105"/>
                <w:lang w:val="en-US"/>
              </w:rPr>
              <w:t>minimum of 9m</w:t>
            </w:r>
            <w:r w:rsidRPr="00D775EF">
              <w:rPr>
                <w:b w:val="0"/>
                <w:w w:val="105"/>
                <w:vertAlign w:val="superscript"/>
                <w:lang w:val="en-US"/>
              </w:rPr>
              <w:t>2</w:t>
            </w:r>
            <w:r w:rsidRPr="00D775EF">
              <w:rPr>
                <w:b w:val="0"/>
                <w:w w:val="105"/>
                <w:lang w:val="en-US"/>
              </w:rPr>
              <w:t xml:space="preserve"> to 20m</w:t>
            </w:r>
            <w:r w:rsidRPr="00D775EF">
              <w:rPr>
                <w:b w:val="0"/>
                <w:w w:val="105"/>
                <w:vertAlign w:val="superscript"/>
                <w:lang w:val="en-US"/>
              </w:rPr>
              <w:t xml:space="preserve">2 </w:t>
            </w:r>
            <w:r w:rsidRPr="00D775EF">
              <w:rPr>
                <w:b w:val="0"/>
                <w:w w:val="105"/>
                <w:lang w:val="en-US"/>
              </w:rPr>
              <w:t xml:space="preserve">or 6.1m x 6.1m for a </w:t>
            </w:r>
            <w:proofErr w:type="spellStart"/>
            <w:r w:rsidRPr="00D775EF">
              <w:rPr>
                <w:b w:val="0"/>
                <w:w w:val="105"/>
                <w:lang w:val="en-US"/>
              </w:rPr>
              <w:t>musholla</w:t>
            </w:r>
            <w:proofErr w:type="spellEnd"/>
            <w:r w:rsidRPr="00D775EF">
              <w:rPr>
                <w:b w:val="0"/>
                <w:w w:val="105"/>
                <w:lang w:val="en-US"/>
              </w:rPr>
              <w:t xml:space="preserve"> in a business areas but contrary with the average mall size in Malaysia at 600,000 square feet </w:t>
            </w:r>
            <w:r w:rsidR="00EE268E" w:rsidRPr="00EE268E">
              <w:rPr>
                <w:b w:val="0"/>
                <w:w w:val="105"/>
                <w:lang w:val="en-US"/>
              </w:rPr>
              <w:fldChar w:fldCharType="begin" w:fldLock="1"/>
            </w:r>
            <w:r w:rsidRPr="00D775EF">
              <w:rPr>
                <w:b w:val="0"/>
                <w:w w:val="105"/>
                <w:lang w:val="en-US"/>
              </w:rPr>
              <w:instrText>ADDIN CSL_CITATION { "citationItems" : [ { "id" : "ITEM-1", "itemData" : { "author" : [ { "dropping-particle" : "", "family" : "Lum", "given" : "Y.L", "non-dropping-particle" : "", "parse-names" : false, "suffix" : "" } ], "container-title" : "Malaysia Shopping Mall Association News Network", "id" : "ITEM-1", "issued" : { "date-parts" : [ [ "2015", "10" ] ] }, "page" : "9", "publisher-place" : "Petaling Jaya", "title" : "Malaysia Shopping Mall Survey 2014/2015", "type" : "article-newspaper" }, "uris" : [ "http://www.mendeley.com/documents/?uuid=86c333f5-30e7-4c6e-a601-95744e7af7fb" ] } ], "mendeley" : { "formattedCitation" : "(Lum 2015)", "plainTextFormattedCitation" : "(Lum 2015)", "previouslyFormattedCitation" : "(Lum 2015)" }, "properties" : { "noteIndex" : 0 }, "schema" : "https://github.com/citation-style-language/schema/raw/master/csl-citation.json" }</w:instrText>
            </w:r>
            <w:r w:rsidR="00EE268E" w:rsidRPr="00EE268E">
              <w:rPr>
                <w:b w:val="0"/>
                <w:w w:val="105"/>
                <w:lang w:val="en-US"/>
              </w:rPr>
              <w:fldChar w:fldCharType="separate"/>
            </w:r>
            <w:r w:rsidRPr="00D775EF">
              <w:rPr>
                <w:b w:val="0"/>
                <w:w w:val="105"/>
                <w:lang w:val="en-US"/>
              </w:rPr>
              <w:t>(Lum 2015)</w:t>
            </w:r>
            <w:r w:rsidR="00EE268E" w:rsidRPr="00D775EF">
              <w:rPr>
                <w:b w:val="0"/>
                <w:w w:val="105"/>
              </w:rPr>
              <w:fldChar w:fldCharType="end"/>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lang w:val="en-US"/>
              </w:rPr>
              <w:t>Jabatan</w:t>
            </w:r>
            <w:proofErr w:type="spellEnd"/>
            <w:r w:rsidRPr="00D775EF">
              <w:rPr>
                <w:b w:val="0"/>
                <w:w w:val="105"/>
                <w:lang w:val="en-US"/>
              </w:rPr>
              <w:t xml:space="preserve"> </w:t>
            </w:r>
            <w:proofErr w:type="spellStart"/>
            <w:r w:rsidRPr="00D775EF">
              <w:rPr>
                <w:b w:val="0"/>
                <w:w w:val="105"/>
                <w:lang w:val="en-US"/>
              </w:rPr>
              <w:t>Perancangan</w:t>
            </w:r>
            <w:proofErr w:type="spellEnd"/>
            <w:r w:rsidRPr="00D775EF">
              <w:rPr>
                <w:b w:val="0"/>
                <w:w w:val="105"/>
                <w:lang w:val="en-US"/>
              </w:rPr>
              <w:t xml:space="preserve"> Bandar </w:t>
            </w:r>
            <w:proofErr w:type="spellStart"/>
            <w:r w:rsidRPr="00D775EF">
              <w:rPr>
                <w:b w:val="0"/>
                <w:w w:val="105"/>
                <w:lang w:val="en-US"/>
              </w:rPr>
              <w:t>dan</w:t>
            </w:r>
            <w:proofErr w:type="spellEnd"/>
            <w:r w:rsidRPr="00D775EF">
              <w:rPr>
                <w:b w:val="0"/>
                <w:w w:val="105"/>
                <w:lang w:val="en-US"/>
              </w:rPr>
              <w:t xml:space="preserve"> </w:t>
            </w:r>
            <w:proofErr w:type="spellStart"/>
            <w:r w:rsidRPr="00D775EF">
              <w:rPr>
                <w:b w:val="0"/>
                <w:w w:val="105"/>
                <w:lang w:val="en-US"/>
              </w:rPr>
              <w:t>Desa</w:t>
            </w:r>
            <w:proofErr w:type="spellEnd"/>
            <w:r w:rsidRPr="00D775EF">
              <w:rPr>
                <w:b w:val="0"/>
                <w:w w:val="105"/>
                <w:lang w:val="en-US"/>
              </w:rPr>
              <w:t xml:space="preserve"> (2011)</w:t>
            </w:r>
          </w:p>
        </w:tc>
      </w:tr>
      <w:tr w:rsidR="00D775EF" w:rsidRPr="00D775EF" w:rsidTr="00F86E3F">
        <w:tc>
          <w:tcPr>
            <w:tcW w:w="1908" w:type="dxa"/>
            <w:vMerge w:val="restart"/>
            <w:shd w:val="clear" w:color="auto" w:fill="auto"/>
          </w:tcPr>
          <w:p w:rsidR="00D775EF" w:rsidRPr="00D775EF" w:rsidRDefault="00D775EF" w:rsidP="00D775EF">
            <w:pPr>
              <w:pStyle w:val="Heading1"/>
              <w:rPr>
                <w:b w:val="0"/>
                <w:w w:val="105"/>
              </w:rPr>
            </w:pPr>
            <w:r w:rsidRPr="00D775EF">
              <w:rPr>
                <w:b w:val="0"/>
                <w:w w:val="105"/>
              </w:rPr>
              <w:t>Maintenance</w:t>
            </w:r>
          </w:p>
        </w:tc>
        <w:tc>
          <w:tcPr>
            <w:tcW w:w="3906" w:type="dxa"/>
            <w:shd w:val="clear" w:color="auto" w:fill="auto"/>
          </w:tcPr>
          <w:p w:rsidR="00D775EF" w:rsidRPr="00D775EF" w:rsidRDefault="00D775EF" w:rsidP="00D775EF">
            <w:pPr>
              <w:pStyle w:val="Heading1"/>
              <w:rPr>
                <w:b w:val="0"/>
                <w:w w:val="105"/>
              </w:rPr>
            </w:pPr>
            <w:r w:rsidRPr="00D775EF">
              <w:rPr>
                <w:b w:val="0"/>
                <w:w w:val="105"/>
              </w:rPr>
              <w:t>Not well  maintain</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Hamzah</w:t>
            </w:r>
            <w:proofErr w:type="spellEnd"/>
            <w:r w:rsidRPr="00D775EF">
              <w:rPr>
                <w:b w:val="0"/>
                <w:w w:val="105"/>
              </w:rPr>
              <w:t>, et al (2015)</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lang w:val="en-US"/>
              </w:rPr>
              <w:t>The management sometimes did not give good attention</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Rusdi</w:t>
            </w:r>
            <w:proofErr w:type="spellEnd"/>
            <w:r w:rsidRPr="00D775EF">
              <w:rPr>
                <w:b w:val="0"/>
                <w:w w:val="105"/>
              </w:rPr>
              <w:t xml:space="preserve"> (2016)</w:t>
            </w:r>
          </w:p>
        </w:tc>
      </w:tr>
      <w:tr w:rsidR="00D775EF" w:rsidRPr="00D775EF" w:rsidTr="00F86E3F">
        <w:tc>
          <w:tcPr>
            <w:tcW w:w="1908" w:type="dxa"/>
            <w:vMerge w:val="restart"/>
            <w:shd w:val="clear" w:color="auto" w:fill="auto"/>
          </w:tcPr>
          <w:p w:rsidR="00D775EF" w:rsidRPr="00D775EF" w:rsidRDefault="00D775EF" w:rsidP="00D775EF">
            <w:pPr>
              <w:pStyle w:val="Heading1"/>
              <w:rPr>
                <w:b w:val="0"/>
                <w:w w:val="105"/>
              </w:rPr>
            </w:pPr>
            <w:r w:rsidRPr="00D775EF">
              <w:rPr>
                <w:b w:val="0"/>
                <w:w w:val="105"/>
              </w:rPr>
              <w:t>Space arrangement</w:t>
            </w:r>
          </w:p>
        </w:tc>
        <w:tc>
          <w:tcPr>
            <w:tcW w:w="3906" w:type="dxa"/>
            <w:shd w:val="clear" w:color="auto" w:fill="auto"/>
          </w:tcPr>
          <w:p w:rsidR="00D775EF" w:rsidRPr="00D775EF" w:rsidRDefault="00D775EF" w:rsidP="00D775EF">
            <w:pPr>
              <w:pStyle w:val="Heading1"/>
              <w:rPr>
                <w:b w:val="0"/>
                <w:w w:val="105"/>
              </w:rPr>
            </w:pPr>
            <w:r w:rsidRPr="00D775EF">
              <w:rPr>
                <w:b w:val="0"/>
                <w:w w:val="105"/>
                <w:lang w:val="en-US"/>
              </w:rPr>
              <w:t>Locate the room in inappropriate space and improper location</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lang w:val="en-US"/>
              </w:rPr>
              <w:t>Hamzah</w:t>
            </w:r>
            <w:proofErr w:type="spellEnd"/>
            <w:r w:rsidRPr="00D775EF">
              <w:rPr>
                <w:b w:val="0"/>
                <w:w w:val="105"/>
                <w:lang w:val="en-US"/>
              </w:rPr>
              <w:t xml:space="preserve"> et al (2015)</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lang w:val="en-US"/>
              </w:rPr>
              <w:t>Built near the parking space,  next to the toilet or hidden area</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lang w:val="en-US"/>
              </w:rPr>
              <w:t>Bakar</w:t>
            </w:r>
            <w:proofErr w:type="spellEnd"/>
            <w:r w:rsidRPr="00D775EF">
              <w:rPr>
                <w:b w:val="0"/>
                <w:w w:val="105"/>
                <w:lang w:val="en-US"/>
              </w:rPr>
              <w:t xml:space="preserve"> et al. (2014)</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Insufficient understanding of </w:t>
            </w:r>
            <w:r w:rsidRPr="00D775EF">
              <w:rPr>
                <w:b w:val="0"/>
                <w:w w:val="105"/>
                <w:lang w:val="en-US"/>
              </w:rPr>
              <w:t xml:space="preserve">architects and designer </w:t>
            </w:r>
            <w:r w:rsidRPr="00D775EF">
              <w:rPr>
                <w:b w:val="0"/>
                <w:w w:val="105"/>
              </w:rPr>
              <w:t xml:space="preserve">on three main component of ablution which are dry, semi-wet and wet surface. </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rPr>
              <w:t>Syah</w:t>
            </w:r>
            <w:proofErr w:type="spellEnd"/>
            <w:r w:rsidRPr="00D775EF">
              <w:rPr>
                <w:b w:val="0"/>
                <w:w w:val="105"/>
              </w:rPr>
              <w:t xml:space="preserve">, M. A. &amp; </w:t>
            </w:r>
            <w:proofErr w:type="spellStart"/>
            <w:r w:rsidRPr="00D775EF">
              <w:rPr>
                <w:b w:val="0"/>
                <w:w w:val="105"/>
              </w:rPr>
              <w:t>Jasmi</w:t>
            </w:r>
            <w:proofErr w:type="spellEnd"/>
            <w:r w:rsidRPr="00D775EF">
              <w:rPr>
                <w:b w:val="0"/>
                <w:w w:val="105"/>
              </w:rPr>
              <w:t>, K. A., (2008)</w:t>
            </w:r>
          </w:p>
        </w:tc>
      </w:tr>
      <w:tr w:rsidR="00D775EF" w:rsidRPr="00D775EF" w:rsidTr="00F86E3F">
        <w:tc>
          <w:tcPr>
            <w:tcW w:w="1908" w:type="dxa"/>
            <w:vMerge/>
            <w:shd w:val="clear" w:color="auto" w:fill="auto"/>
          </w:tcPr>
          <w:p w:rsidR="00D775EF" w:rsidRPr="00D775EF" w:rsidRDefault="00D775EF" w:rsidP="00D775EF">
            <w:pPr>
              <w:pStyle w:val="Heading1"/>
              <w:rPr>
                <w:b w:val="0"/>
                <w:w w:val="105"/>
              </w:rPr>
            </w:pPr>
          </w:p>
        </w:tc>
        <w:tc>
          <w:tcPr>
            <w:tcW w:w="3906" w:type="dxa"/>
            <w:shd w:val="clear" w:color="auto" w:fill="auto"/>
          </w:tcPr>
          <w:p w:rsidR="00D775EF" w:rsidRPr="00D775EF" w:rsidRDefault="00D775EF" w:rsidP="00D775EF">
            <w:pPr>
              <w:pStyle w:val="Heading1"/>
              <w:rPr>
                <w:b w:val="0"/>
                <w:w w:val="105"/>
              </w:rPr>
            </w:pPr>
            <w:r w:rsidRPr="00D775EF">
              <w:rPr>
                <w:b w:val="0"/>
                <w:w w:val="105"/>
              </w:rPr>
              <w:t>Circulation and access between praying area and ablution need to follow concept of ‘clean-zone’</w:t>
            </w:r>
          </w:p>
        </w:tc>
        <w:tc>
          <w:tcPr>
            <w:tcW w:w="2907" w:type="dxa"/>
            <w:shd w:val="clear" w:color="auto" w:fill="auto"/>
          </w:tcPr>
          <w:p w:rsidR="00D775EF" w:rsidRPr="00D775EF" w:rsidRDefault="00D775EF" w:rsidP="00D775EF">
            <w:pPr>
              <w:pStyle w:val="Heading1"/>
              <w:rPr>
                <w:b w:val="0"/>
                <w:w w:val="105"/>
              </w:rPr>
            </w:pPr>
            <w:proofErr w:type="spellStart"/>
            <w:r w:rsidRPr="00D775EF">
              <w:rPr>
                <w:b w:val="0"/>
                <w:w w:val="105"/>
                <w:lang w:val="en-US"/>
              </w:rPr>
              <w:t>Mokhtar</w:t>
            </w:r>
            <w:proofErr w:type="spellEnd"/>
            <w:r w:rsidRPr="00D775EF">
              <w:rPr>
                <w:b w:val="0"/>
                <w:w w:val="105"/>
                <w:lang w:val="en-US"/>
              </w:rPr>
              <w:t>, A. (2005)</w:t>
            </w:r>
          </w:p>
        </w:tc>
      </w:tr>
      <w:tr w:rsidR="00D775EF" w:rsidRPr="00D775EF" w:rsidTr="00F86E3F">
        <w:tc>
          <w:tcPr>
            <w:tcW w:w="1908" w:type="dxa"/>
            <w:shd w:val="clear" w:color="auto" w:fill="auto"/>
          </w:tcPr>
          <w:p w:rsidR="00D775EF" w:rsidRPr="00D775EF" w:rsidRDefault="00D775EF" w:rsidP="00D775EF">
            <w:pPr>
              <w:pStyle w:val="Heading1"/>
              <w:rPr>
                <w:b w:val="0"/>
                <w:w w:val="105"/>
              </w:rPr>
            </w:pPr>
            <w:r w:rsidRPr="00D775EF">
              <w:rPr>
                <w:b w:val="0"/>
                <w:w w:val="105"/>
              </w:rPr>
              <w:t>Ergonomic aspect</w:t>
            </w:r>
          </w:p>
        </w:tc>
        <w:tc>
          <w:tcPr>
            <w:tcW w:w="3906" w:type="dxa"/>
            <w:shd w:val="clear" w:color="auto" w:fill="auto"/>
          </w:tcPr>
          <w:p w:rsidR="00D775EF" w:rsidRPr="00D775EF" w:rsidRDefault="00D775EF" w:rsidP="00D775EF">
            <w:pPr>
              <w:pStyle w:val="Heading1"/>
              <w:rPr>
                <w:b w:val="0"/>
                <w:w w:val="105"/>
              </w:rPr>
            </w:pPr>
            <w:r w:rsidRPr="00D775EF">
              <w:rPr>
                <w:b w:val="0"/>
                <w:w w:val="105"/>
              </w:rPr>
              <w:t xml:space="preserve">To consider the ergonomic aspects and the anthropometric dimension for the position while taking </w:t>
            </w:r>
            <w:proofErr w:type="spellStart"/>
            <w:r w:rsidRPr="00D775EF">
              <w:rPr>
                <w:b w:val="0"/>
                <w:w w:val="105"/>
              </w:rPr>
              <w:t>wudhu</w:t>
            </w:r>
            <w:proofErr w:type="spellEnd"/>
            <w:r w:rsidRPr="00D775EF">
              <w:rPr>
                <w:b w:val="0"/>
                <w:w w:val="105"/>
              </w:rPr>
              <w:t xml:space="preserve">’ either standing or sitting position </w:t>
            </w:r>
          </w:p>
        </w:tc>
        <w:tc>
          <w:tcPr>
            <w:tcW w:w="2907" w:type="dxa"/>
            <w:shd w:val="clear" w:color="auto" w:fill="auto"/>
          </w:tcPr>
          <w:p w:rsidR="00D775EF" w:rsidRPr="00D775EF" w:rsidRDefault="00D775EF" w:rsidP="00D775EF">
            <w:pPr>
              <w:pStyle w:val="Heading1"/>
              <w:rPr>
                <w:b w:val="0"/>
                <w:w w:val="105"/>
              </w:rPr>
            </w:pPr>
            <w:r w:rsidRPr="00D775EF">
              <w:rPr>
                <w:b w:val="0"/>
                <w:w w:val="105"/>
              </w:rPr>
              <w:t xml:space="preserve">Boy </w:t>
            </w:r>
            <w:proofErr w:type="spellStart"/>
            <w:r w:rsidRPr="00D775EF">
              <w:rPr>
                <w:b w:val="0"/>
                <w:w w:val="105"/>
              </w:rPr>
              <w:t>Nurtjahyo</w:t>
            </w:r>
            <w:proofErr w:type="spellEnd"/>
            <w:r w:rsidRPr="00D775EF">
              <w:rPr>
                <w:b w:val="0"/>
                <w:w w:val="105"/>
              </w:rPr>
              <w:t xml:space="preserve">. M, (2013), </w:t>
            </w:r>
            <w:proofErr w:type="spellStart"/>
            <w:r w:rsidRPr="00D775EF">
              <w:rPr>
                <w:b w:val="0"/>
                <w:w w:val="105"/>
              </w:rPr>
              <w:t>Dawal</w:t>
            </w:r>
            <w:proofErr w:type="spellEnd"/>
            <w:r w:rsidRPr="00D775EF">
              <w:rPr>
                <w:b w:val="0"/>
                <w:w w:val="105"/>
              </w:rPr>
              <w:t xml:space="preserve"> (2016)</w:t>
            </w:r>
          </w:p>
        </w:tc>
      </w:tr>
      <w:tr w:rsidR="00D775EF" w:rsidRPr="00D775EF" w:rsidTr="00F86E3F">
        <w:tc>
          <w:tcPr>
            <w:tcW w:w="1908" w:type="dxa"/>
            <w:tcBorders>
              <w:bottom w:val="single" w:sz="4" w:space="0" w:color="auto"/>
            </w:tcBorders>
            <w:shd w:val="clear" w:color="auto" w:fill="auto"/>
          </w:tcPr>
          <w:p w:rsidR="00D775EF" w:rsidRPr="00D775EF" w:rsidRDefault="00D775EF" w:rsidP="00D775EF">
            <w:pPr>
              <w:pStyle w:val="Heading1"/>
              <w:rPr>
                <w:b w:val="0"/>
                <w:w w:val="105"/>
              </w:rPr>
            </w:pPr>
            <w:r w:rsidRPr="00D775EF">
              <w:rPr>
                <w:b w:val="0"/>
                <w:w w:val="105"/>
              </w:rPr>
              <w:t xml:space="preserve">Facilities for </w:t>
            </w:r>
            <w:proofErr w:type="spellStart"/>
            <w:r w:rsidRPr="00D775EF">
              <w:rPr>
                <w:b w:val="0"/>
                <w:w w:val="105"/>
              </w:rPr>
              <w:t>PwD</w:t>
            </w:r>
            <w:proofErr w:type="spellEnd"/>
          </w:p>
        </w:tc>
        <w:tc>
          <w:tcPr>
            <w:tcW w:w="3906" w:type="dxa"/>
            <w:tcBorders>
              <w:bottom w:val="single" w:sz="4" w:space="0" w:color="auto"/>
            </w:tcBorders>
            <w:shd w:val="clear" w:color="auto" w:fill="auto"/>
          </w:tcPr>
          <w:p w:rsidR="00D775EF" w:rsidRPr="00D775EF" w:rsidRDefault="00D775EF" w:rsidP="00D775EF">
            <w:pPr>
              <w:pStyle w:val="Heading1"/>
              <w:rPr>
                <w:b w:val="0"/>
                <w:w w:val="105"/>
              </w:rPr>
            </w:pPr>
            <w:r w:rsidRPr="00D775EF">
              <w:rPr>
                <w:b w:val="0"/>
                <w:w w:val="105"/>
                <w:lang w:val="en-US"/>
              </w:rPr>
              <w:t>Consider the Persons with Disabilities (</w:t>
            </w:r>
            <w:proofErr w:type="spellStart"/>
            <w:r w:rsidRPr="00D775EF">
              <w:rPr>
                <w:b w:val="0"/>
                <w:w w:val="105"/>
                <w:lang w:val="en-US"/>
              </w:rPr>
              <w:t>PwDs</w:t>
            </w:r>
            <w:proofErr w:type="spellEnd"/>
            <w:r w:rsidRPr="00D775EF">
              <w:rPr>
                <w:b w:val="0"/>
                <w:w w:val="105"/>
                <w:lang w:val="en-US"/>
              </w:rPr>
              <w:t>)</w:t>
            </w:r>
          </w:p>
        </w:tc>
        <w:tc>
          <w:tcPr>
            <w:tcW w:w="2907" w:type="dxa"/>
            <w:tcBorders>
              <w:bottom w:val="single" w:sz="4" w:space="0" w:color="auto"/>
            </w:tcBorders>
            <w:shd w:val="clear" w:color="auto" w:fill="auto"/>
          </w:tcPr>
          <w:p w:rsidR="00D775EF" w:rsidRPr="00D775EF" w:rsidRDefault="00D775EF" w:rsidP="00D775EF">
            <w:pPr>
              <w:pStyle w:val="Heading1"/>
              <w:rPr>
                <w:b w:val="0"/>
                <w:w w:val="105"/>
                <w:lang w:val="en-US"/>
              </w:rPr>
            </w:pPr>
            <w:proofErr w:type="spellStart"/>
            <w:r w:rsidRPr="00D775EF">
              <w:rPr>
                <w:b w:val="0"/>
                <w:w w:val="105"/>
                <w:lang w:val="en-US"/>
              </w:rPr>
              <w:t>Rahim</w:t>
            </w:r>
            <w:proofErr w:type="spellEnd"/>
            <w:r w:rsidRPr="00D775EF">
              <w:rPr>
                <w:b w:val="0"/>
                <w:w w:val="105"/>
                <w:lang w:val="en-US"/>
              </w:rPr>
              <w:t xml:space="preserve"> et al (2014)</w:t>
            </w:r>
          </w:p>
        </w:tc>
      </w:tr>
    </w:tbl>
    <w:p w:rsidR="00D775EF" w:rsidRPr="003F4551" w:rsidRDefault="00D775EF" w:rsidP="00D775EF">
      <w:pPr>
        <w:pStyle w:val="Heading1"/>
        <w:rPr>
          <w:b w:val="0"/>
          <w:w w:val="105"/>
        </w:rPr>
      </w:pPr>
    </w:p>
    <w:p w:rsidR="00D775EF" w:rsidRPr="003F4551" w:rsidRDefault="00D775EF" w:rsidP="00D775EF">
      <w:pPr>
        <w:pStyle w:val="Heading1"/>
        <w:rPr>
          <w:b w:val="0"/>
          <w:w w:val="105"/>
        </w:rPr>
      </w:pPr>
      <w:r w:rsidRPr="003F4551">
        <w:rPr>
          <w:b w:val="0"/>
          <w:w w:val="105"/>
        </w:rPr>
        <w:t xml:space="preserve">This paper aims to identify the design factors of ablution that will contribute users’ satisfaction as well as guidance in providing fundamental criteria in ablution design. </w:t>
      </w:r>
    </w:p>
    <w:p w:rsidR="007F33AA" w:rsidRDefault="007F33AA" w:rsidP="002A3FF0">
      <w:pPr>
        <w:pStyle w:val="Heading1"/>
        <w:jc w:val="both"/>
      </w:pPr>
    </w:p>
    <w:p w:rsidR="00031F81" w:rsidRDefault="00391579" w:rsidP="002A3FF0">
      <w:pPr>
        <w:pStyle w:val="Heading1"/>
        <w:jc w:val="both"/>
      </w:pPr>
      <w:r w:rsidRPr="00391579">
        <w:t>RESEARCH METHODOLOGY</w:t>
      </w:r>
    </w:p>
    <w:p w:rsidR="00C74A41" w:rsidRPr="00C74A41" w:rsidRDefault="00C74A41" w:rsidP="00C74A41">
      <w:pPr>
        <w:pStyle w:val="Heading1"/>
        <w:jc w:val="both"/>
        <w:rPr>
          <w:b w:val="0"/>
        </w:rPr>
      </w:pPr>
      <w:r w:rsidRPr="00C74A41">
        <w:rPr>
          <w:b w:val="0"/>
        </w:rPr>
        <w:t xml:space="preserve">This research is a combination of quantitative and qualitative approach where the details are shown in </w:t>
      </w:r>
      <w:fldSimple w:instr=" REF _Ref494721067 \h  \* MERGEFORMAT ">
        <w:r w:rsidRPr="00C74A41">
          <w:rPr>
            <w:b w:val="0"/>
          </w:rPr>
          <w:t>Table 2</w:t>
        </w:r>
      </w:fldSimple>
      <w:r w:rsidRPr="00C74A41">
        <w:rPr>
          <w:b w:val="0"/>
        </w:rPr>
        <w:t xml:space="preserve">. Results from each method will be analysed separately and then triangulated to provide strong and comprehensive findings. </w:t>
      </w:r>
    </w:p>
    <w:p w:rsidR="00C74A41" w:rsidRPr="00C74A41" w:rsidRDefault="00C74A41" w:rsidP="00C74A41">
      <w:pPr>
        <w:pStyle w:val="Heading1"/>
        <w:jc w:val="both"/>
        <w:rPr>
          <w:b w:val="0"/>
        </w:rPr>
      </w:pPr>
    </w:p>
    <w:p w:rsidR="00C74A41" w:rsidRPr="00C74A41" w:rsidRDefault="00C74A41" w:rsidP="00C74A41">
      <w:pPr>
        <w:pStyle w:val="Heading1"/>
        <w:jc w:val="center"/>
        <w:rPr>
          <w:b w:val="0"/>
        </w:rPr>
      </w:pPr>
      <w:bookmarkStart w:id="2" w:name="_Ref494721067"/>
      <w:r w:rsidRPr="00C74A41">
        <w:rPr>
          <w:b w:val="0"/>
        </w:rPr>
        <w:t xml:space="preserve">Table </w:t>
      </w:r>
      <w:r w:rsidR="00EE268E" w:rsidRPr="00C74A41">
        <w:rPr>
          <w:b w:val="0"/>
        </w:rPr>
        <w:fldChar w:fldCharType="begin"/>
      </w:r>
      <w:r w:rsidRPr="00C74A41">
        <w:rPr>
          <w:b w:val="0"/>
        </w:rPr>
        <w:instrText xml:space="preserve"> SEQ Table \* ARABIC </w:instrText>
      </w:r>
      <w:r w:rsidR="00EE268E" w:rsidRPr="00C74A41">
        <w:rPr>
          <w:b w:val="0"/>
        </w:rPr>
        <w:fldChar w:fldCharType="separate"/>
      </w:r>
      <w:r w:rsidRPr="00C74A41">
        <w:rPr>
          <w:b w:val="0"/>
        </w:rPr>
        <w:t>2</w:t>
      </w:r>
      <w:r w:rsidR="00EE268E" w:rsidRPr="00C74A41">
        <w:rPr>
          <w:b w:val="0"/>
        </w:rPr>
        <w:fldChar w:fldCharType="end"/>
      </w:r>
      <w:bookmarkEnd w:id="2"/>
      <w:r w:rsidRPr="00C74A41">
        <w:rPr>
          <w:b w:val="0"/>
        </w:rPr>
        <w:t>: Research methodologies</w:t>
      </w:r>
    </w:p>
    <w:tbl>
      <w:tblPr>
        <w:tblW w:w="0" w:type="auto"/>
        <w:tblLook w:val="04A0"/>
      </w:tblPr>
      <w:tblGrid>
        <w:gridCol w:w="1504"/>
        <w:gridCol w:w="5756"/>
        <w:gridCol w:w="2236"/>
      </w:tblGrid>
      <w:tr w:rsidR="00C74A41" w:rsidRPr="00C74A41" w:rsidTr="00F86E3F">
        <w:tc>
          <w:tcPr>
            <w:tcW w:w="1458" w:type="dxa"/>
            <w:tcBorders>
              <w:top w:val="single" w:sz="4" w:space="0" w:color="auto"/>
              <w:bottom w:val="single" w:sz="4" w:space="0" w:color="auto"/>
            </w:tcBorders>
            <w:shd w:val="clear" w:color="auto" w:fill="auto"/>
          </w:tcPr>
          <w:p w:rsidR="00C74A41" w:rsidRPr="00C74A41" w:rsidRDefault="00C74A41" w:rsidP="00C74A41">
            <w:pPr>
              <w:pStyle w:val="Heading1"/>
              <w:jc w:val="both"/>
              <w:rPr>
                <w:b w:val="0"/>
                <w:lang w:val="en-US"/>
              </w:rPr>
            </w:pPr>
            <w:r w:rsidRPr="00C74A41">
              <w:rPr>
                <w:b w:val="0"/>
                <w:lang w:val="en-US"/>
              </w:rPr>
              <w:t>Methods</w:t>
            </w:r>
          </w:p>
        </w:tc>
        <w:tc>
          <w:tcPr>
            <w:tcW w:w="5760" w:type="dxa"/>
            <w:tcBorders>
              <w:top w:val="single" w:sz="4" w:space="0" w:color="auto"/>
              <w:bottom w:val="single" w:sz="4" w:space="0" w:color="auto"/>
            </w:tcBorders>
            <w:shd w:val="clear" w:color="auto" w:fill="auto"/>
          </w:tcPr>
          <w:p w:rsidR="00C74A41" w:rsidRPr="00C74A41" w:rsidRDefault="00C74A41" w:rsidP="00C74A41">
            <w:pPr>
              <w:pStyle w:val="Heading1"/>
              <w:jc w:val="both"/>
              <w:rPr>
                <w:b w:val="0"/>
                <w:lang w:val="en-US"/>
              </w:rPr>
            </w:pPr>
            <w:r w:rsidRPr="00C74A41">
              <w:rPr>
                <w:b w:val="0"/>
                <w:lang w:val="en-US"/>
              </w:rPr>
              <w:t>Techniques</w:t>
            </w:r>
          </w:p>
        </w:tc>
        <w:tc>
          <w:tcPr>
            <w:tcW w:w="1503" w:type="dxa"/>
            <w:tcBorders>
              <w:top w:val="single" w:sz="4" w:space="0" w:color="auto"/>
              <w:bottom w:val="single" w:sz="4" w:space="0" w:color="auto"/>
            </w:tcBorders>
            <w:shd w:val="clear" w:color="auto" w:fill="auto"/>
          </w:tcPr>
          <w:p w:rsidR="00C74A41" w:rsidRPr="00C74A41" w:rsidRDefault="00C74A41" w:rsidP="00C74A41">
            <w:pPr>
              <w:pStyle w:val="Heading1"/>
              <w:jc w:val="both"/>
              <w:rPr>
                <w:b w:val="0"/>
                <w:lang w:val="en-US"/>
              </w:rPr>
            </w:pPr>
            <w:r w:rsidRPr="00C74A41">
              <w:rPr>
                <w:b w:val="0"/>
                <w:lang w:val="en-US"/>
              </w:rPr>
              <w:t>Analysis</w:t>
            </w:r>
          </w:p>
        </w:tc>
      </w:tr>
      <w:tr w:rsidR="00C74A41" w:rsidRPr="00C74A41" w:rsidTr="00F86E3F">
        <w:tc>
          <w:tcPr>
            <w:tcW w:w="1458" w:type="dxa"/>
            <w:tcBorders>
              <w:top w:val="single" w:sz="4" w:space="0" w:color="auto"/>
            </w:tcBorders>
            <w:shd w:val="clear" w:color="auto" w:fill="auto"/>
          </w:tcPr>
          <w:p w:rsidR="00C74A41" w:rsidRPr="00C74A41" w:rsidRDefault="00C74A41" w:rsidP="00C74A41">
            <w:pPr>
              <w:pStyle w:val="Heading1"/>
              <w:jc w:val="both"/>
              <w:rPr>
                <w:b w:val="0"/>
                <w:lang w:val="en-US"/>
              </w:rPr>
            </w:pPr>
            <w:r w:rsidRPr="00C74A41">
              <w:rPr>
                <w:b w:val="0"/>
                <w:lang w:val="en-US"/>
              </w:rPr>
              <w:t>Questionnaire surveys</w:t>
            </w:r>
          </w:p>
          <w:p w:rsidR="00C74A41" w:rsidRPr="00C74A41" w:rsidRDefault="00C74A41" w:rsidP="00C74A41">
            <w:pPr>
              <w:pStyle w:val="Heading1"/>
              <w:jc w:val="both"/>
              <w:rPr>
                <w:b w:val="0"/>
                <w:lang w:val="en-US"/>
              </w:rPr>
            </w:pPr>
          </w:p>
        </w:tc>
        <w:tc>
          <w:tcPr>
            <w:tcW w:w="5760" w:type="dxa"/>
            <w:tcBorders>
              <w:top w:val="single" w:sz="4" w:space="0" w:color="auto"/>
            </w:tcBorders>
            <w:shd w:val="clear" w:color="auto" w:fill="auto"/>
          </w:tcPr>
          <w:p w:rsidR="00C74A41" w:rsidRPr="00C74A41" w:rsidRDefault="00C74A41" w:rsidP="00C74A41">
            <w:pPr>
              <w:pStyle w:val="Heading1"/>
              <w:numPr>
                <w:ilvl w:val="0"/>
                <w:numId w:val="2"/>
              </w:numPr>
              <w:jc w:val="both"/>
              <w:rPr>
                <w:b w:val="0"/>
                <w:lang w:val="en-US"/>
              </w:rPr>
            </w:pPr>
            <w:r w:rsidRPr="00C74A41">
              <w:rPr>
                <w:b w:val="0"/>
                <w:lang w:val="en-US"/>
              </w:rPr>
              <w:t xml:space="preserve">Developed from Department of Work Post Occupancy Evaluation (POE) form </w:t>
            </w:r>
            <w:r w:rsidR="00EE268E" w:rsidRPr="00EE268E">
              <w:rPr>
                <w:b w:val="0"/>
                <w:lang w:val="en-US"/>
              </w:rPr>
              <w:fldChar w:fldCharType="begin" w:fldLock="1"/>
            </w:r>
            <w:r w:rsidRPr="00C74A41">
              <w:rPr>
                <w:b w:val="0"/>
                <w:lang w:val="en-US"/>
              </w:rPr>
              <w:instrText>ADDIN CSL_CITATION { "citationItems" : [ { "id" : "ITEM-1", "itemData" : { "author" : [ { "dropping-particle" : "", "family" : "Jabatan Kerja Raya", "given" : "", "non-dropping-particle" : "", "parse-names" : false, "suffix" : "" } ], "id" : "ITEM-1", "issued" : { "date-parts" : [ [ "2013" ] ] }, "title" : "Garis Panduan Penilaian Pasca Menduduki Post Occupancy Evaluation Tahap 1", "type" : "report" }, "uris" : [ "http://www.mendeley.com/documents/?uuid=6b98e4c5-7ca8-449a-b0e6-da00b3aac6df" ] } ], "mendeley" : { "formattedCitation" : "(Jabatan Kerja Raya 2013)", "manualFormatting" : "(Jabatan Kerja Raya, 2013)", "plainTextFormattedCitation" : "(Jabatan Kerja Raya 2013)", "previouslyFormattedCitation" : "(Jabatan Kerja Raya 2013)" }, "properties" : { "noteIndex" : 4 }, "schema" : "https://github.com/citation-style-language/schema/raw/master/csl-citation.json" }</w:instrText>
            </w:r>
            <w:r w:rsidR="00EE268E" w:rsidRPr="00EE268E">
              <w:rPr>
                <w:b w:val="0"/>
                <w:lang w:val="en-US"/>
              </w:rPr>
              <w:fldChar w:fldCharType="separate"/>
            </w:r>
            <w:r w:rsidRPr="00C74A41">
              <w:rPr>
                <w:b w:val="0"/>
                <w:lang w:val="en-US"/>
              </w:rPr>
              <w:t>(Jabatan Kerja Raya, 2013)</w:t>
            </w:r>
            <w:r w:rsidR="00EE268E" w:rsidRPr="00C74A41">
              <w:rPr>
                <w:b w:val="0"/>
              </w:rPr>
              <w:fldChar w:fldCharType="end"/>
            </w:r>
            <w:r w:rsidRPr="00C74A41">
              <w:rPr>
                <w:b w:val="0"/>
                <w:lang w:val="en-US"/>
              </w:rPr>
              <w:t xml:space="preserve">with further modification. </w:t>
            </w:r>
          </w:p>
          <w:p w:rsidR="00C74A41" w:rsidRPr="00C74A41" w:rsidRDefault="00C74A41" w:rsidP="00C74A41">
            <w:pPr>
              <w:pStyle w:val="Heading1"/>
              <w:numPr>
                <w:ilvl w:val="0"/>
                <w:numId w:val="2"/>
              </w:numPr>
              <w:jc w:val="both"/>
              <w:rPr>
                <w:b w:val="0"/>
                <w:lang w:val="en-US"/>
              </w:rPr>
            </w:pPr>
            <w:r w:rsidRPr="00C74A41">
              <w:rPr>
                <w:b w:val="0"/>
                <w:lang w:val="en-US"/>
              </w:rPr>
              <w:t>Selection of respondents was based on the combination of convenience, random and purposive samplings</w:t>
            </w:r>
          </w:p>
          <w:p w:rsidR="00C74A41" w:rsidRPr="00C74A41" w:rsidRDefault="00C74A41" w:rsidP="00C74A41">
            <w:pPr>
              <w:pStyle w:val="Heading1"/>
              <w:numPr>
                <w:ilvl w:val="0"/>
                <w:numId w:val="2"/>
              </w:numPr>
              <w:jc w:val="both"/>
              <w:rPr>
                <w:b w:val="0"/>
                <w:lang w:val="en-US"/>
              </w:rPr>
            </w:pPr>
            <w:r w:rsidRPr="00C74A41">
              <w:rPr>
                <w:b w:val="0"/>
                <w:lang w:val="en-US"/>
              </w:rPr>
              <w:t xml:space="preserve">Questionnaire in </w:t>
            </w:r>
            <w:proofErr w:type="spellStart"/>
            <w:r w:rsidRPr="00C74A41">
              <w:rPr>
                <w:b w:val="0"/>
                <w:lang w:val="en-US"/>
              </w:rPr>
              <w:t>Likert</w:t>
            </w:r>
            <w:proofErr w:type="spellEnd"/>
            <w:r w:rsidRPr="00C74A41">
              <w:rPr>
                <w:b w:val="0"/>
                <w:lang w:val="en-US"/>
              </w:rPr>
              <w:t xml:space="preserve"> scale rating which was from one – strongly disagree to 4 – strongly agree</w:t>
            </w:r>
          </w:p>
          <w:p w:rsidR="00C74A41" w:rsidRPr="00C74A41" w:rsidRDefault="00C74A41" w:rsidP="00C74A41">
            <w:pPr>
              <w:pStyle w:val="Heading1"/>
              <w:numPr>
                <w:ilvl w:val="0"/>
                <w:numId w:val="2"/>
              </w:numPr>
              <w:jc w:val="both"/>
              <w:rPr>
                <w:b w:val="0"/>
                <w:lang w:val="en-US"/>
              </w:rPr>
            </w:pPr>
            <w:r w:rsidRPr="00C74A41">
              <w:rPr>
                <w:b w:val="0"/>
                <w:lang w:val="en-US"/>
              </w:rPr>
              <w:t xml:space="preserve">Distributed in total of three weeks comprised of weekdays and weekend. </w:t>
            </w:r>
          </w:p>
          <w:p w:rsidR="00C74A41" w:rsidRPr="00C74A41" w:rsidRDefault="00C74A41" w:rsidP="00C74A41">
            <w:pPr>
              <w:pStyle w:val="Heading1"/>
              <w:numPr>
                <w:ilvl w:val="0"/>
                <w:numId w:val="2"/>
              </w:numPr>
              <w:jc w:val="both"/>
              <w:rPr>
                <w:b w:val="0"/>
                <w:lang w:val="en-US"/>
              </w:rPr>
            </w:pPr>
            <w:r w:rsidRPr="00C74A41">
              <w:rPr>
                <w:b w:val="0"/>
                <w:lang w:val="en-US"/>
              </w:rPr>
              <w:t xml:space="preserve">Surveys took place from 1 pm – 8 pm  </w:t>
            </w:r>
          </w:p>
        </w:tc>
        <w:tc>
          <w:tcPr>
            <w:tcW w:w="1503" w:type="dxa"/>
            <w:tcBorders>
              <w:top w:val="single" w:sz="4" w:space="0" w:color="auto"/>
            </w:tcBorders>
            <w:shd w:val="clear" w:color="auto" w:fill="auto"/>
          </w:tcPr>
          <w:p w:rsidR="00C74A41" w:rsidRPr="00C74A41" w:rsidRDefault="00C74A41" w:rsidP="00C74A41">
            <w:pPr>
              <w:pStyle w:val="Heading1"/>
              <w:numPr>
                <w:ilvl w:val="0"/>
                <w:numId w:val="2"/>
              </w:numPr>
              <w:jc w:val="both"/>
              <w:rPr>
                <w:b w:val="0"/>
                <w:lang w:val="en-US"/>
              </w:rPr>
            </w:pPr>
            <w:r w:rsidRPr="00C74A41">
              <w:rPr>
                <w:b w:val="0"/>
                <w:lang w:val="en-US"/>
              </w:rPr>
              <w:t>Descriptive and factor analysis</w:t>
            </w:r>
          </w:p>
        </w:tc>
      </w:tr>
      <w:tr w:rsidR="00C74A41" w:rsidRPr="00C74A41" w:rsidTr="00F86E3F">
        <w:tc>
          <w:tcPr>
            <w:tcW w:w="1458" w:type="dxa"/>
            <w:shd w:val="clear" w:color="auto" w:fill="auto"/>
          </w:tcPr>
          <w:p w:rsidR="00C74A41" w:rsidRPr="00C74A41" w:rsidRDefault="00C74A41" w:rsidP="00C74A41">
            <w:pPr>
              <w:pStyle w:val="Heading1"/>
              <w:jc w:val="both"/>
              <w:rPr>
                <w:b w:val="0"/>
                <w:lang w:val="en-US"/>
              </w:rPr>
            </w:pPr>
            <w:r w:rsidRPr="00C74A41">
              <w:rPr>
                <w:b w:val="0"/>
                <w:lang w:val="en-US"/>
              </w:rPr>
              <w:lastRenderedPageBreak/>
              <w:t>Interview session</w:t>
            </w:r>
          </w:p>
          <w:p w:rsidR="00C74A41" w:rsidRPr="00C74A41" w:rsidRDefault="00C74A41" w:rsidP="00C74A41">
            <w:pPr>
              <w:pStyle w:val="Heading1"/>
              <w:jc w:val="both"/>
              <w:rPr>
                <w:b w:val="0"/>
                <w:lang w:val="en-US"/>
              </w:rPr>
            </w:pPr>
          </w:p>
        </w:tc>
        <w:tc>
          <w:tcPr>
            <w:tcW w:w="5760" w:type="dxa"/>
            <w:shd w:val="clear" w:color="auto" w:fill="auto"/>
          </w:tcPr>
          <w:p w:rsidR="00C74A41" w:rsidRPr="00C74A41" w:rsidRDefault="00C74A41" w:rsidP="00C74A41">
            <w:pPr>
              <w:pStyle w:val="Heading1"/>
              <w:numPr>
                <w:ilvl w:val="0"/>
                <w:numId w:val="2"/>
              </w:numPr>
              <w:jc w:val="both"/>
              <w:rPr>
                <w:b w:val="0"/>
                <w:lang w:val="en-US"/>
              </w:rPr>
            </w:pPr>
            <w:r w:rsidRPr="00C74A41">
              <w:rPr>
                <w:b w:val="0"/>
                <w:lang w:val="en-US"/>
              </w:rPr>
              <w:t>With two local authorities which represent the expertise of related guideline and regulation in building design and planning</w:t>
            </w:r>
          </w:p>
        </w:tc>
        <w:tc>
          <w:tcPr>
            <w:tcW w:w="1503" w:type="dxa"/>
            <w:shd w:val="clear" w:color="auto" w:fill="auto"/>
          </w:tcPr>
          <w:p w:rsidR="00C74A41" w:rsidRPr="00C74A41" w:rsidRDefault="00C74A41" w:rsidP="00C74A41">
            <w:pPr>
              <w:pStyle w:val="Heading1"/>
              <w:numPr>
                <w:ilvl w:val="0"/>
                <w:numId w:val="2"/>
              </w:numPr>
              <w:jc w:val="both"/>
              <w:rPr>
                <w:b w:val="0"/>
                <w:lang w:val="en-US"/>
              </w:rPr>
            </w:pPr>
            <w:r w:rsidRPr="00C74A41">
              <w:rPr>
                <w:b w:val="0"/>
                <w:lang w:val="en-US"/>
              </w:rPr>
              <w:t>Thematic analysis</w:t>
            </w:r>
          </w:p>
        </w:tc>
      </w:tr>
      <w:tr w:rsidR="00C74A41" w:rsidRPr="00C74A41" w:rsidTr="00F86E3F">
        <w:tc>
          <w:tcPr>
            <w:tcW w:w="1458" w:type="dxa"/>
            <w:tcBorders>
              <w:bottom w:val="single" w:sz="4" w:space="0" w:color="auto"/>
            </w:tcBorders>
            <w:shd w:val="clear" w:color="auto" w:fill="auto"/>
          </w:tcPr>
          <w:p w:rsidR="00C74A41" w:rsidRPr="00C74A41" w:rsidRDefault="00C74A41" w:rsidP="00C74A41">
            <w:pPr>
              <w:pStyle w:val="Heading1"/>
              <w:jc w:val="both"/>
              <w:rPr>
                <w:b w:val="0"/>
                <w:lang w:val="en-US"/>
              </w:rPr>
            </w:pPr>
            <w:r w:rsidRPr="00C74A41">
              <w:rPr>
                <w:b w:val="0"/>
                <w:lang w:val="en-US"/>
              </w:rPr>
              <w:t>Case studies</w:t>
            </w:r>
          </w:p>
        </w:tc>
        <w:tc>
          <w:tcPr>
            <w:tcW w:w="5760" w:type="dxa"/>
            <w:tcBorders>
              <w:bottom w:val="single" w:sz="4" w:space="0" w:color="auto"/>
            </w:tcBorders>
            <w:shd w:val="clear" w:color="auto" w:fill="auto"/>
          </w:tcPr>
          <w:p w:rsidR="00C74A41" w:rsidRPr="00C74A41" w:rsidRDefault="00C74A41" w:rsidP="00C74A41">
            <w:pPr>
              <w:pStyle w:val="Heading1"/>
              <w:numPr>
                <w:ilvl w:val="0"/>
                <w:numId w:val="2"/>
              </w:numPr>
              <w:jc w:val="both"/>
              <w:rPr>
                <w:b w:val="0"/>
                <w:lang w:val="en-US"/>
              </w:rPr>
            </w:pPr>
            <w:r w:rsidRPr="00C74A41">
              <w:rPr>
                <w:b w:val="0"/>
                <w:lang w:val="en-US"/>
              </w:rPr>
              <w:t>Rough observation with some sketches and measurement</w:t>
            </w:r>
          </w:p>
        </w:tc>
        <w:tc>
          <w:tcPr>
            <w:tcW w:w="1503" w:type="dxa"/>
            <w:tcBorders>
              <w:bottom w:val="single" w:sz="4" w:space="0" w:color="auto"/>
            </w:tcBorders>
            <w:shd w:val="clear" w:color="auto" w:fill="auto"/>
          </w:tcPr>
          <w:p w:rsidR="00C74A41" w:rsidRPr="00C74A41" w:rsidRDefault="00C74A41" w:rsidP="00C74A41">
            <w:pPr>
              <w:pStyle w:val="Heading1"/>
              <w:numPr>
                <w:ilvl w:val="0"/>
                <w:numId w:val="2"/>
              </w:numPr>
              <w:jc w:val="both"/>
              <w:rPr>
                <w:b w:val="0"/>
                <w:lang w:val="en-US"/>
              </w:rPr>
            </w:pPr>
            <w:r w:rsidRPr="00C74A41">
              <w:rPr>
                <w:b w:val="0"/>
                <w:lang w:val="en-US"/>
              </w:rPr>
              <w:t>Discussion</w:t>
            </w:r>
          </w:p>
        </w:tc>
      </w:tr>
    </w:tbl>
    <w:p w:rsidR="00C74A41" w:rsidRPr="00C74A41" w:rsidRDefault="00C74A41" w:rsidP="00C74A41">
      <w:pPr>
        <w:pStyle w:val="Heading1"/>
        <w:jc w:val="both"/>
        <w:rPr>
          <w:b w:val="0"/>
        </w:rPr>
      </w:pPr>
    </w:p>
    <w:p w:rsidR="00C74A41" w:rsidRPr="00C74A41" w:rsidRDefault="00C74A41" w:rsidP="00C74A41">
      <w:pPr>
        <w:pStyle w:val="Heading1"/>
        <w:jc w:val="both"/>
        <w:rPr>
          <w:b w:val="0"/>
          <w:lang w:val="en-US"/>
        </w:rPr>
      </w:pPr>
      <w:r w:rsidRPr="00C74A41">
        <w:rPr>
          <w:b w:val="0"/>
          <w:lang w:val="en-US"/>
        </w:rPr>
        <w:t xml:space="preserve">Both malls are located at Shah </w:t>
      </w:r>
      <w:proofErr w:type="spellStart"/>
      <w:r w:rsidRPr="00C74A41">
        <w:rPr>
          <w:b w:val="0"/>
          <w:lang w:val="en-US"/>
        </w:rPr>
        <w:t>Alam</w:t>
      </w:r>
      <w:proofErr w:type="spellEnd"/>
      <w:r w:rsidRPr="00C74A41">
        <w:rPr>
          <w:b w:val="0"/>
          <w:lang w:val="en-US"/>
        </w:rPr>
        <w:t xml:space="preserve">, Selangor with similar commercial floor area approximately at 65,000-meter square. Some information was inaccessible due to restriction from the building management. </w:t>
      </w:r>
    </w:p>
    <w:p w:rsidR="001A631E" w:rsidRDefault="001A631E" w:rsidP="002A3FF0">
      <w:pPr>
        <w:pStyle w:val="Heading1"/>
        <w:rPr>
          <w:b w:val="0"/>
        </w:rPr>
      </w:pPr>
    </w:p>
    <w:p w:rsidR="00231033" w:rsidRDefault="00231033" w:rsidP="002A3FF0">
      <w:pPr>
        <w:pStyle w:val="Heading1"/>
        <w:rPr>
          <w:lang w:val="en-US"/>
        </w:rPr>
      </w:pPr>
      <w:r w:rsidRPr="00231033">
        <w:rPr>
          <w:lang w:val="en-US"/>
        </w:rPr>
        <w:t xml:space="preserve">RESULTS AND DISCUSSION </w:t>
      </w:r>
    </w:p>
    <w:p w:rsidR="00C74A41" w:rsidRPr="00585612" w:rsidRDefault="00C74A41" w:rsidP="00585612">
      <w:pPr>
        <w:pStyle w:val="Heading1"/>
        <w:jc w:val="both"/>
        <w:rPr>
          <w:b w:val="0"/>
          <w:lang w:val="en-US"/>
        </w:rPr>
      </w:pPr>
    </w:p>
    <w:p w:rsidR="00C74A41" w:rsidRPr="00585612" w:rsidRDefault="00C74A41" w:rsidP="00585612">
      <w:pPr>
        <w:pStyle w:val="Heading1"/>
        <w:jc w:val="both"/>
        <w:rPr>
          <w:i/>
        </w:rPr>
      </w:pPr>
      <w:r w:rsidRPr="00585612">
        <w:rPr>
          <w:i/>
        </w:rPr>
        <w:t>Descriptive analyses</w:t>
      </w:r>
    </w:p>
    <w:p w:rsidR="00C74A41" w:rsidRPr="00585612" w:rsidRDefault="00C74A41" w:rsidP="00585612">
      <w:pPr>
        <w:pStyle w:val="Heading1"/>
        <w:jc w:val="both"/>
        <w:rPr>
          <w:b w:val="0"/>
        </w:rPr>
      </w:pPr>
      <w:r w:rsidRPr="00585612">
        <w:rPr>
          <w:b w:val="0"/>
        </w:rPr>
        <w:t xml:space="preserve">A Chi-square test of independence was calculated comparing the frequency of satisfaction level among users on praying and ablution areas in both malls. This test was done to ensure that both case studies with similar overall facilities area at 65,000 meter square are significant even though praying and ablution sizes and dimensions were unidentified due to restricted information and inaccessible permission. Results in </w:t>
      </w:r>
      <w:fldSimple w:instr=" REF _Ref497227810 \h  \* MERGEFORMAT ">
        <w:r w:rsidRPr="00585612">
          <w:rPr>
            <w:b w:val="0"/>
          </w:rPr>
          <w:t>Table 3</w:t>
        </w:r>
      </w:fldSimple>
      <w:r w:rsidRPr="00585612">
        <w:rPr>
          <w:b w:val="0"/>
        </w:rPr>
        <w:t xml:space="preserve"> shows that there are significant relationships on both level of satisfaction for Mall A and Mall B. </w:t>
      </w:r>
    </w:p>
    <w:p w:rsidR="00C74A41" w:rsidRPr="00585612" w:rsidRDefault="00C74A41" w:rsidP="00585612">
      <w:pPr>
        <w:pStyle w:val="Heading1"/>
        <w:jc w:val="both"/>
        <w:rPr>
          <w:b w:val="0"/>
        </w:rPr>
      </w:pPr>
    </w:p>
    <w:p w:rsidR="00C74A41" w:rsidRPr="00585612" w:rsidRDefault="00C74A41" w:rsidP="00585612">
      <w:pPr>
        <w:pStyle w:val="Heading1"/>
        <w:jc w:val="center"/>
        <w:rPr>
          <w:b w:val="0"/>
        </w:rPr>
      </w:pPr>
      <w:bookmarkStart w:id="3" w:name="_Ref497227810"/>
      <w:r w:rsidRPr="00585612">
        <w:rPr>
          <w:b w:val="0"/>
        </w:rPr>
        <w:t xml:space="preserve">Table </w:t>
      </w:r>
      <w:r w:rsidR="00EE268E" w:rsidRPr="00EE268E">
        <w:rPr>
          <w:b w:val="0"/>
        </w:rPr>
        <w:fldChar w:fldCharType="begin"/>
      </w:r>
      <w:r w:rsidRPr="00585612">
        <w:rPr>
          <w:b w:val="0"/>
        </w:rPr>
        <w:instrText xml:space="preserve"> SEQ Table \* ARABIC </w:instrText>
      </w:r>
      <w:r w:rsidR="00EE268E" w:rsidRPr="00EE268E">
        <w:rPr>
          <w:b w:val="0"/>
        </w:rPr>
        <w:fldChar w:fldCharType="separate"/>
      </w:r>
      <w:r w:rsidRPr="00585612">
        <w:rPr>
          <w:b w:val="0"/>
        </w:rPr>
        <w:t>3</w:t>
      </w:r>
      <w:r w:rsidR="00EE268E" w:rsidRPr="00585612">
        <w:rPr>
          <w:b w:val="0"/>
          <w:lang w:val="en-US"/>
        </w:rPr>
        <w:fldChar w:fldCharType="end"/>
      </w:r>
      <w:bookmarkEnd w:id="3"/>
      <w:r w:rsidRPr="00585612">
        <w:rPr>
          <w:b w:val="0"/>
        </w:rPr>
        <w:t>: Overall satisfactions cross tabulation</w:t>
      </w:r>
    </w:p>
    <w:tbl>
      <w:tblPr>
        <w:tblW w:w="5000" w:type="pct"/>
        <w:tblCellMar>
          <w:left w:w="0" w:type="dxa"/>
          <w:right w:w="0" w:type="dxa"/>
        </w:tblCellMar>
        <w:tblLook w:val="0000"/>
      </w:tblPr>
      <w:tblGrid>
        <w:gridCol w:w="4222"/>
        <w:gridCol w:w="1179"/>
        <w:gridCol w:w="1078"/>
        <w:gridCol w:w="1474"/>
        <w:gridCol w:w="1327"/>
      </w:tblGrid>
      <w:tr w:rsidR="00C74A41" w:rsidRPr="00585612" w:rsidTr="00F86E3F">
        <w:trPr>
          <w:cantSplit/>
        </w:trPr>
        <w:tc>
          <w:tcPr>
            <w:tcW w:w="2910" w:type="pct"/>
            <w:gridSpan w:val="2"/>
            <w:tcBorders>
              <w:top w:val="single" w:sz="4" w:space="0" w:color="auto"/>
              <w:bottom w:val="single" w:sz="4" w:space="0" w:color="auto"/>
            </w:tcBorders>
            <w:shd w:val="clear" w:color="auto" w:fill="auto"/>
            <w:vAlign w:val="bottom"/>
          </w:tcPr>
          <w:p w:rsidR="00C74A41" w:rsidRPr="00585612" w:rsidRDefault="00C74A41" w:rsidP="00585612">
            <w:pPr>
              <w:pStyle w:val="Heading1"/>
              <w:jc w:val="both"/>
              <w:rPr>
                <w:b w:val="0"/>
              </w:rPr>
            </w:pPr>
          </w:p>
        </w:tc>
        <w:tc>
          <w:tcPr>
            <w:tcW w:w="581" w:type="pct"/>
            <w:tcBorders>
              <w:top w:val="single" w:sz="4" w:space="0" w:color="auto"/>
              <w:bottom w:val="single" w:sz="4" w:space="0" w:color="auto"/>
            </w:tcBorders>
            <w:shd w:val="clear" w:color="auto" w:fill="FFFFFF"/>
            <w:vAlign w:val="bottom"/>
          </w:tcPr>
          <w:p w:rsidR="00C74A41" w:rsidRPr="00585612" w:rsidRDefault="00C74A41" w:rsidP="00585612">
            <w:pPr>
              <w:pStyle w:val="Heading1"/>
              <w:jc w:val="both"/>
              <w:rPr>
                <w:b w:val="0"/>
              </w:rPr>
            </w:pPr>
            <w:r w:rsidRPr="00585612">
              <w:rPr>
                <w:b w:val="0"/>
              </w:rPr>
              <w:t>Satisfied</w:t>
            </w:r>
          </w:p>
        </w:tc>
        <w:tc>
          <w:tcPr>
            <w:tcW w:w="794" w:type="pct"/>
            <w:tcBorders>
              <w:top w:val="single" w:sz="4" w:space="0" w:color="auto"/>
              <w:bottom w:val="single" w:sz="4" w:space="0" w:color="auto"/>
            </w:tcBorders>
            <w:shd w:val="clear" w:color="auto" w:fill="FFFFFF"/>
            <w:vAlign w:val="bottom"/>
          </w:tcPr>
          <w:p w:rsidR="00C74A41" w:rsidRPr="00585612" w:rsidRDefault="00C74A41" w:rsidP="00585612">
            <w:pPr>
              <w:pStyle w:val="Heading1"/>
              <w:jc w:val="both"/>
              <w:rPr>
                <w:b w:val="0"/>
              </w:rPr>
            </w:pPr>
            <w:r w:rsidRPr="00585612">
              <w:rPr>
                <w:b w:val="0"/>
              </w:rPr>
              <w:t>Very satisfied</w:t>
            </w:r>
          </w:p>
        </w:tc>
        <w:tc>
          <w:tcPr>
            <w:tcW w:w="715" w:type="pct"/>
            <w:tcBorders>
              <w:top w:val="single" w:sz="4" w:space="0" w:color="auto"/>
              <w:bottom w:val="single" w:sz="4" w:space="0" w:color="auto"/>
            </w:tcBorders>
            <w:shd w:val="clear" w:color="auto" w:fill="FFFFFF"/>
            <w:vAlign w:val="bottom"/>
          </w:tcPr>
          <w:p w:rsidR="00C74A41" w:rsidRPr="00585612" w:rsidRDefault="00C74A41" w:rsidP="00585612">
            <w:pPr>
              <w:pStyle w:val="Heading1"/>
              <w:jc w:val="both"/>
              <w:rPr>
                <w:b w:val="0"/>
              </w:rPr>
            </w:pPr>
            <w:r w:rsidRPr="00585612">
              <w:rPr>
                <w:b w:val="0"/>
              </w:rPr>
              <w:t>Dissatisfied</w:t>
            </w:r>
          </w:p>
        </w:tc>
      </w:tr>
      <w:tr w:rsidR="00C74A41" w:rsidRPr="00585612" w:rsidTr="00F86E3F">
        <w:trPr>
          <w:cantSplit/>
        </w:trPr>
        <w:tc>
          <w:tcPr>
            <w:tcW w:w="2275" w:type="pct"/>
            <w:vMerge w:val="restart"/>
            <w:tcBorders>
              <w:top w:val="single" w:sz="4" w:space="0" w:color="auto"/>
            </w:tcBorders>
            <w:shd w:val="clear" w:color="auto" w:fill="auto"/>
          </w:tcPr>
          <w:p w:rsidR="00C74A41" w:rsidRPr="00585612" w:rsidRDefault="00C74A41" w:rsidP="00585612">
            <w:pPr>
              <w:pStyle w:val="Heading1"/>
              <w:jc w:val="both"/>
              <w:rPr>
                <w:b w:val="0"/>
              </w:rPr>
            </w:pPr>
            <w:r w:rsidRPr="00585612">
              <w:rPr>
                <w:b w:val="0"/>
              </w:rPr>
              <w:t xml:space="preserve">Overall satisfaction on the design of the praying area </w:t>
            </w:r>
          </w:p>
          <w:p w:rsidR="00C74A41" w:rsidRPr="00585612" w:rsidRDefault="00C74A41" w:rsidP="00585612">
            <w:pPr>
              <w:pStyle w:val="Heading1"/>
              <w:jc w:val="both"/>
              <w:rPr>
                <w:b w:val="0"/>
              </w:rPr>
            </w:pPr>
            <w:r w:rsidRPr="00585612">
              <w:rPr>
                <w:b w:val="0"/>
                <w:i/>
              </w:rPr>
              <w:t>X</w:t>
            </w:r>
            <w:r w:rsidRPr="00585612">
              <w:rPr>
                <w:b w:val="0"/>
                <w:vertAlign w:val="superscript"/>
              </w:rPr>
              <w:t>2</w:t>
            </w:r>
            <w:r w:rsidRPr="00585612">
              <w:rPr>
                <w:b w:val="0"/>
              </w:rPr>
              <w:t xml:space="preserve"> (2) = 21.821, </w:t>
            </w:r>
            <w:r w:rsidRPr="00585612">
              <w:rPr>
                <w:b w:val="0"/>
                <w:i/>
              </w:rPr>
              <w:t>p</w:t>
            </w:r>
            <w:r w:rsidRPr="00585612">
              <w:rPr>
                <w:b w:val="0"/>
              </w:rPr>
              <w:t xml:space="preserve"> &lt;.001</w:t>
            </w:r>
          </w:p>
        </w:tc>
        <w:tc>
          <w:tcPr>
            <w:tcW w:w="635" w:type="pct"/>
            <w:tcBorders>
              <w:top w:val="single" w:sz="4" w:space="0" w:color="auto"/>
            </w:tcBorders>
            <w:shd w:val="clear" w:color="auto" w:fill="auto"/>
          </w:tcPr>
          <w:p w:rsidR="00C74A41" w:rsidRPr="00585612" w:rsidRDefault="00C74A41" w:rsidP="00585612">
            <w:pPr>
              <w:pStyle w:val="Heading1"/>
              <w:jc w:val="both"/>
              <w:rPr>
                <w:b w:val="0"/>
              </w:rPr>
            </w:pPr>
            <w:r w:rsidRPr="00585612">
              <w:rPr>
                <w:b w:val="0"/>
              </w:rPr>
              <w:t>Mall A (N=75)</w:t>
            </w:r>
          </w:p>
        </w:tc>
        <w:tc>
          <w:tcPr>
            <w:tcW w:w="581" w:type="pct"/>
            <w:tcBorders>
              <w:top w:val="single" w:sz="4" w:space="0" w:color="auto"/>
            </w:tcBorders>
            <w:shd w:val="clear" w:color="auto" w:fill="FFFFFF"/>
          </w:tcPr>
          <w:p w:rsidR="00C74A41" w:rsidRPr="00585612" w:rsidRDefault="00C74A41" w:rsidP="00585612">
            <w:pPr>
              <w:pStyle w:val="Heading1"/>
              <w:jc w:val="both"/>
              <w:rPr>
                <w:b w:val="0"/>
              </w:rPr>
            </w:pPr>
            <w:r w:rsidRPr="00585612">
              <w:rPr>
                <w:b w:val="0"/>
              </w:rPr>
              <w:t>56</w:t>
            </w:r>
          </w:p>
        </w:tc>
        <w:tc>
          <w:tcPr>
            <w:tcW w:w="794" w:type="pct"/>
            <w:tcBorders>
              <w:top w:val="single" w:sz="4" w:space="0" w:color="auto"/>
            </w:tcBorders>
            <w:shd w:val="clear" w:color="auto" w:fill="FFFFFF"/>
          </w:tcPr>
          <w:p w:rsidR="00C74A41" w:rsidRPr="00585612" w:rsidRDefault="00C74A41" w:rsidP="00585612">
            <w:pPr>
              <w:pStyle w:val="Heading1"/>
              <w:jc w:val="both"/>
              <w:rPr>
                <w:b w:val="0"/>
              </w:rPr>
            </w:pPr>
            <w:r w:rsidRPr="00585612">
              <w:rPr>
                <w:b w:val="0"/>
              </w:rPr>
              <w:t>19</w:t>
            </w:r>
          </w:p>
        </w:tc>
        <w:tc>
          <w:tcPr>
            <w:tcW w:w="715" w:type="pct"/>
            <w:tcBorders>
              <w:top w:val="single" w:sz="4" w:space="0" w:color="auto"/>
            </w:tcBorders>
            <w:shd w:val="clear" w:color="auto" w:fill="FFFFFF"/>
          </w:tcPr>
          <w:p w:rsidR="00C74A41" w:rsidRPr="00585612" w:rsidRDefault="00C74A41" w:rsidP="00585612">
            <w:pPr>
              <w:pStyle w:val="Heading1"/>
              <w:jc w:val="both"/>
              <w:rPr>
                <w:b w:val="0"/>
              </w:rPr>
            </w:pPr>
            <w:r w:rsidRPr="00585612">
              <w:rPr>
                <w:b w:val="0"/>
              </w:rPr>
              <w:t>0</w:t>
            </w:r>
          </w:p>
        </w:tc>
      </w:tr>
      <w:tr w:rsidR="00C74A41" w:rsidRPr="00585612" w:rsidTr="00F86E3F">
        <w:trPr>
          <w:cantSplit/>
        </w:trPr>
        <w:tc>
          <w:tcPr>
            <w:tcW w:w="2275" w:type="pct"/>
            <w:vMerge/>
            <w:shd w:val="clear" w:color="auto" w:fill="auto"/>
          </w:tcPr>
          <w:p w:rsidR="00C74A41" w:rsidRPr="00585612" w:rsidRDefault="00C74A41" w:rsidP="00585612">
            <w:pPr>
              <w:pStyle w:val="Heading1"/>
              <w:jc w:val="both"/>
              <w:rPr>
                <w:b w:val="0"/>
              </w:rPr>
            </w:pPr>
          </w:p>
        </w:tc>
        <w:tc>
          <w:tcPr>
            <w:tcW w:w="635" w:type="pct"/>
            <w:shd w:val="clear" w:color="auto" w:fill="auto"/>
          </w:tcPr>
          <w:p w:rsidR="00C74A41" w:rsidRPr="00585612" w:rsidRDefault="00C74A41" w:rsidP="00585612">
            <w:pPr>
              <w:pStyle w:val="Heading1"/>
              <w:jc w:val="both"/>
              <w:rPr>
                <w:b w:val="0"/>
              </w:rPr>
            </w:pPr>
            <w:r w:rsidRPr="00585612">
              <w:rPr>
                <w:b w:val="0"/>
              </w:rPr>
              <w:t>Mall B (N=75)</w:t>
            </w:r>
          </w:p>
        </w:tc>
        <w:tc>
          <w:tcPr>
            <w:tcW w:w="581" w:type="pct"/>
            <w:shd w:val="clear" w:color="auto" w:fill="FFFFFF"/>
          </w:tcPr>
          <w:p w:rsidR="00C74A41" w:rsidRPr="00585612" w:rsidRDefault="00C74A41" w:rsidP="00585612">
            <w:pPr>
              <w:pStyle w:val="Heading1"/>
              <w:jc w:val="both"/>
              <w:rPr>
                <w:b w:val="0"/>
              </w:rPr>
            </w:pPr>
            <w:r w:rsidRPr="00585612">
              <w:rPr>
                <w:b w:val="0"/>
              </w:rPr>
              <w:t>50</w:t>
            </w:r>
          </w:p>
        </w:tc>
        <w:tc>
          <w:tcPr>
            <w:tcW w:w="794" w:type="pct"/>
            <w:shd w:val="clear" w:color="auto" w:fill="FFFFFF"/>
          </w:tcPr>
          <w:p w:rsidR="00C74A41" w:rsidRPr="00585612" w:rsidRDefault="00C74A41" w:rsidP="00585612">
            <w:pPr>
              <w:pStyle w:val="Heading1"/>
              <w:jc w:val="both"/>
              <w:rPr>
                <w:b w:val="0"/>
              </w:rPr>
            </w:pPr>
            <w:r w:rsidRPr="00585612">
              <w:rPr>
                <w:b w:val="0"/>
              </w:rPr>
              <w:t>8</w:t>
            </w:r>
          </w:p>
        </w:tc>
        <w:tc>
          <w:tcPr>
            <w:tcW w:w="715" w:type="pct"/>
            <w:shd w:val="clear" w:color="auto" w:fill="FFFFFF"/>
          </w:tcPr>
          <w:p w:rsidR="00C74A41" w:rsidRPr="00585612" w:rsidRDefault="00C74A41" w:rsidP="00585612">
            <w:pPr>
              <w:pStyle w:val="Heading1"/>
              <w:jc w:val="both"/>
              <w:rPr>
                <w:b w:val="0"/>
              </w:rPr>
            </w:pPr>
            <w:r w:rsidRPr="00585612">
              <w:rPr>
                <w:b w:val="0"/>
              </w:rPr>
              <w:t>17</w:t>
            </w:r>
          </w:p>
        </w:tc>
      </w:tr>
      <w:tr w:rsidR="00C74A41" w:rsidRPr="00585612" w:rsidTr="00F86E3F">
        <w:trPr>
          <w:cantSplit/>
        </w:trPr>
        <w:tc>
          <w:tcPr>
            <w:tcW w:w="2910" w:type="pct"/>
            <w:gridSpan w:val="2"/>
            <w:shd w:val="clear" w:color="auto" w:fill="auto"/>
          </w:tcPr>
          <w:p w:rsidR="00C74A41" w:rsidRPr="00585612" w:rsidRDefault="00C74A41" w:rsidP="00585612">
            <w:pPr>
              <w:pStyle w:val="Heading1"/>
              <w:jc w:val="both"/>
              <w:rPr>
                <w:b w:val="0"/>
              </w:rPr>
            </w:pPr>
            <w:r w:rsidRPr="00585612">
              <w:rPr>
                <w:b w:val="0"/>
              </w:rPr>
              <w:t>Total</w:t>
            </w:r>
          </w:p>
        </w:tc>
        <w:tc>
          <w:tcPr>
            <w:tcW w:w="581" w:type="pct"/>
            <w:shd w:val="clear" w:color="auto" w:fill="FFFFFF"/>
          </w:tcPr>
          <w:p w:rsidR="00C74A41" w:rsidRPr="00585612" w:rsidRDefault="00C74A41" w:rsidP="00585612">
            <w:pPr>
              <w:pStyle w:val="Heading1"/>
              <w:jc w:val="both"/>
              <w:rPr>
                <w:b w:val="0"/>
              </w:rPr>
            </w:pPr>
            <w:r w:rsidRPr="00585612">
              <w:rPr>
                <w:b w:val="0"/>
              </w:rPr>
              <w:t>106</w:t>
            </w:r>
          </w:p>
        </w:tc>
        <w:tc>
          <w:tcPr>
            <w:tcW w:w="794" w:type="pct"/>
            <w:shd w:val="clear" w:color="auto" w:fill="FFFFFF"/>
          </w:tcPr>
          <w:p w:rsidR="00C74A41" w:rsidRPr="00585612" w:rsidRDefault="00C74A41" w:rsidP="00585612">
            <w:pPr>
              <w:pStyle w:val="Heading1"/>
              <w:jc w:val="both"/>
              <w:rPr>
                <w:b w:val="0"/>
              </w:rPr>
            </w:pPr>
            <w:r w:rsidRPr="00585612">
              <w:rPr>
                <w:b w:val="0"/>
              </w:rPr>
              <w:t>27</w:t>
            </w:r>
          </w:p>
        </w:tc>
        <w:tc>
          <w:tcPr>
            <w:tcW w:w="715" w:type="pct"/>
            <w:shd w:val="clear" w:color="auto" w:fill="FFFFFF"/>
          </w:tcPr>
          <w:p w:rsidR="00C74A41" w:rsidRPr="00585612" w:rsidRDefault="00C74A41" w:rsidP="00585612">
            <w:pPr>
              <w:pStyle w:val="Heading1"/>
              <w:jc w:val="both"/>
              <w:rPr>
                <w:b w:val="0"/>
              </w:rPr>
            </w:pPr>
            <w:r w:rsidRPr="00585612">
              <w:rPr>
                <w:b w:val="0"/>
              </w:rPr>
              <w:t>17</w:t>
            </w:r>
          </w:p>
        </w:tc>
      </w:tr>
      <w:tr w:rsidR="00C74A41" w:rsidRPr="00585612" w:rsidTr="00F86E3F">
        <w:trPr>
          <w:cantSplit/>
        </w:trPr>
        <w:tc>
          <w:tcPr>
            <w:tcW w:w="2910" w:type="pct"/>
            <w:gridSpan w:val="2"/>
            <w:tcBorders>
              <w:bottom w:val="single" w:sz="4" w:space="0" w:color="auto"/>
            </w:tcBorders>
            <w:shd w:val="clear" w:color="auto" w:fill="auto"/>
            <w:vAlign w:val="bottom"/>
          </w:tcPr>
          <w:p w:rsidR="00C74A41" w:rsidRPr="00585612" w:rsidRDefault="00C74A41" w:rsidP="00585612">
            <w:pPr>
              <w:pStyle w:val="Heading1"/>
              <w:jc w:val="both"/>
              <w:rPr>
                <w:b w:val="0"/>
              </w:rPr>
            </w:pPr>
          </w:p>
        </w:tc>
        <w:tc>
          <w:tcPr>
            <w:tcW w:w="581" w:type="pct"/>
            <w:tcBorders>
              <w:bottom w:val="single" w:sz="4" w:space="0" w:color="auto"/>
            </w:tcBorders>
            <w:shd w:val="clear" w:color="auto" w:fill="FFFFFF"/>
            <w:vAlign w:val="bottom"/>
          </w:tcPr>
          <w:p w:rsidR="00C74A41" w:rsidRPr="00585612" w:rsidRDefault="00C74A41" w:rsidP="00585612">
            <w:pPr>
              <w:pStyle w:val="Heading1"/>
              <w:jc w:val="both"/>
              <w:rPr>
                <w:b w:val="0"/>
              </w:rPr>
            </w:pPr>
          </w:p>
        </w:tc>
        <w:tc>
          <w:tcPr>
            <w:tcW w:w="794" w:type="pct"/>
            <w:tcBorders>
              <w:bottom w:val="single" w:sz="4" w:space="0" w:color="auto"/>
            </w:tcBorders>
            <w:shd w:val="clear" w:color="auto" w:fill="FFFFFF"/>
            <w:vAlign w:val="bottom"/>
          </w:tcPr>
          <w:p w:rsidR="00C74A41" w:rsidRPr="00585612" w:rsidRDefault="00C74A41" w:rsidP="00585612">
            <w:pPr>
              <w:pStyle w:val="Heading1"/>
              <w:jc w:val="both"/>
              <w:rPr>
                <w:b w:val="0"/>
              </w:rPr>
            </w:pPr>
          </w:p>
        </w:tc>
        <w:tc>
          <w:tcPr>
            <w:tcW w:w="715" w:type="pct"/>
            <w:tcBorders>
              <w:bottom w:val="single" w:sz="4" w:space="0" w:color="auto"/>
            </w:tcBorders>
            <w:shd w:val="clear" w:color="auto" w:fill="FFFFFF"/>
            <w:vAlign w:val="bottom"/>
          </w:tcPr>
          <w:p w:rsidR="00C74A41" w:rsidRPr="00585612" w:rsidRDefault="00C74A41" w:rsidP="00585612">
            <w:pPr>
              <w:pStyle w:val="Heading1"/>
              <w:jc w:val="both"/>
              <w:rPr>
                <w:b w:val="0"/>
              </w:rPr>
            </w:pPr>
          </w:p>
        </w:tc>
      </w:tr>
      <w:tr w:rsidR="00C74A41" w:rsidRPr="00585612" w:rsidTr="00F86E3F">
        <w:trPr>
          <w:cantSplit/>
        </w:trPr>
        <w:tc>
          <w:tcPr>
            <w:tcW w:w="2275" w:type="pct"/>
            <w:vMerge w:val="restart"/>
            <w:tcBorders>
              <w:top w:val="single" w:sz="4" w:space="0" w:color="auto"/>
            </w:tcBorders>
            <w:shd w:val="clear" w:color="auto" w:fill="auto"/>
          </w:tcPr>
          <w:p w:rsidR="00C74A41" w:rsidRPr="00585612" w:rsidRDefault="00C74A41" w:rsidP="00585612">
            <w:pPr>
              <w:pStyle w:val="Heading1"/>
              <w:jc w:val="both"/>
              <w:rPr>
                <w:b w:val="0"/>
              </w:rPr>
            </w:pPr>
            <w:r w:rsidRPr="00585612">
              <w:rPr>
                <w:b w:val="0"/>
              </w:rPr>
              <w:t>Overall satisfaction on the design of ablution area</w:t>
            </w:r>
          </w:p>
          <w:p w:rsidR="00C74A41" w:rsidRPr="00585612" w:rsidRDefault="00C74A41" w:rsidP="00585612">
            <w:pPr>
              <w:pStyle w:val="Heading1"/>
              <w:jc w:val="both"/>
              <w:rPr>
                <w:b w:val="0"/>
              </w:rPr>
            </w:pPr>
            <w:r w:rsidRPr="00585612">
              <w:rPr>
                <w:b w:val="0"/>
                <w:i/>
              </w:rPr>
              <w:t>X</w:t>
            </w:r>
            <w:r w:rsidRPr="00585612">
              <w:rPr>
                <w:b w:val="0"/>
                <w:vertAlign w:val="superscript"/>
              </w:rPr>
              <w:t>2</w:t>
            </w:r>
            <w:r w:rsidRPr="00585612">
              <w:rPr>
                <w:b w:val="0"/>
              </w:rPr>
              <w:t xml:space="preserve"> (2) = 22.187, </w:t>
            </w:r>
            <w:r w:rsidRPr="00585612">
              <w:rPr>
                <w:b w:val="0"/>
                <w:i/>
              </w:rPr>
              <w:t>p</w:t>
            </w:r>
            <w:r w:rsidRPr="00585612">
              <w:rPr>
                <w:b w:val="0"/>
              </w:rPr>
              <w:t xml:space="preserve"> &lt;.001</w:t>
            </w:r>
          </w:p>
        </w:tc>
        <w:tc>
          <w:tcPr>
            <w:tcW w:w="635" w:type="pct"/>
            <w:tcBorders>
              <w:top w:val="single" w:sz="4" w:space="0" w:color="auto"/>
            </w:tcBorders>
            <w:shd w:val="clear" w:color="auto" w:fill="auto"/>
          </w:tcPr>
          <w:p w:rsidR="00C74A41" w:rsidRPr="00585612" w:rsidRDefault="00C74A41" w:rsidP="00585612">
            <w:pPr>
              <w:pStyle w:val="Heading1"/>
              <w:jc w:val="both"/>
              <w:rPr>
                <w:b w:val="0"/>
              </w:rPr>
            </w:pPr>
            <w:r w:rsidRPr="00585612">
              <w:rPr>
                <w:b w:val="0"/>
              </w:rPr>
              <w:t>Mall A (N=75)</w:t>
            </w:r>
          </w:p>
        </w:tc>
        <w:tc>
          <w:tcPr>
            <w:tcW w:w="581" w:type="pct"/>
            <w:tcBorders>
              <w:top w:val="single" w:sz="4" w:space="0" w:color="auto"/>
            </w:tcBorders>
            <w:shd w:val="clear" w:color="auto" w:fill="FFFFFF"/>
          </w:tcPr>
          <w:p w:rsidR="00C74A41" w:rsidRPr="00585612" w:rsidRDefault="00C74A41" w:rsidP="00585612">
            <w:pPr>
              <w:pStyle w:val="Heading1"/>
              <w:jc w:val="both"/>
              <w:rPr>
                <w:b w:val="0"/>
              </w:rPr>
            </w:pPr>
            <w:r w:rsidRPr="00585612">
              <w:rPr>
                <w:b w:val="0"/>
              </w:rPr>
              <w:t>56</w:t>
            </w:r>
          </w:p>
        </w:tc>
        <w:tc>
          <w:tcPr>
            <w:tcW w:w="794" w:type="pct"/>
            <w:tcBorders>
              <w:top w:val="single" w:sz="4" w:space="0" w:color="auto"/>
            </w:tcBorders>
            <w:shd w:val="clear" w:color="auto" w:fill="FFFFFF"/>
          </w:tcPr>
          <w:p w:rsidR="00C74A41" w:rsidRPr="00585612" w:rsidRDefault="00C74A41" w:rsidP="00585612">
            <w:pPr>
              <w:pStyle w:val="Heading1"/>
              <w:jc w:val="both"/>
              <w:rPr>
                <w:b w:val="0"/>
              </w:rPr>
            </w:pPr>
            <w:r w:rsidRPr="00585612">
              <w:rPr>
                <w:b w:val="0"/>
              </w:rPr>
              <w:t>19</w:t>
            </w:r>
          </w:p>
        </w:tc>
        <w:tc>
          <w:tcPr>
            <w:tcW w:w="715" w:type="pct"/>
            <w:tcBorders>
              <w:top w:val="single" w:sz="4" w:space="0" w:color="auto"/>
            </w:tcBorders>
            <w:shd w:val="clear" w:color="auto" w:fill="FFFFFF"/>
          </w:tcPr>
          <w:p w:rsidR="00C74A41" w:rsidRPr="00585612" w:rsidRDefault="00C74A41" w:rsidP="00585612">
            <w:pPr>
              <w:pStyle w:val="Heading1"/>
              <w:jc w:val="both"/>
              <w:rPr>
                <w:b w:val="0"/>
              </w:rPr>
            </w:pPr>
            <w:r w:rsidRPr="00585612">
              <w:rPr>
                <w:b w:val="0"/>
              </w:rPr>
              <w:t>0</w:t>
            </w:r>
          </w:p>
        </w:tc>
      </w:tr>
      <w:tr w:rsidR="00C74A41" w:rsidRPr="00585612" w:rsidTr="00F86E3F">
        <w:trPr>
          <w:cantSplit/>
        </w:trPr>
        <w:tc>
          <w:tcPr>
            <w:tcW w:w="2275" w:type="pct"/>
            <w:vMerge/>
            <w:shd w:val="clear" w:color="auto" w:fill="auto"/>
          </w:tcPr>
          <w:p w:rsidR="00C74A41" w:rsidRPr="00585612" w:rsidRDefault="00C74A41" w:rsidP="00585612">
            <w:pPr>
              <w:pStyle w:val="Heading1"/>
              <w:jc w:val="both"/>
              <w:rPr>
                <w:b w:val="0"/>
              </w:rPr>
            </w:pPr>
          </w:p>
        </w:tc>
        <w:tc>
          <w:tcPr>
            <w:tcW w:w="635" w:type="pct"/>
            <w:shd w:val="clear" w:color="auto" w:fill="auto"/>
          </w:tcPr>
          <w:p w:rsidR="00C74A41" w:rsidRPr="00585612" w:rsidRDefault="00C74A41" w:rsidP="00585612">
            <w:pPr>
              <w:pStyle w:val="Heading1"/>
              <w:jc w:val="both"/>
              <w:rPr>
                <w:b w:val="0"/>
              </w:rPr>
            </w:pPr>
            <w:r w:rsidRPr="00585612">
              <w:rPr>
                <w:b w:val="0"/>
              </w:rPr>
              <w:t>Mall B (N=75)</w:t>
            </w:r>
          </w:p>
        </w:tc>
        <w:tc>
          <w:tcPr>
            <w:tcW w:w="581" w:type="pct"/>
            <w:shd w:val="clear" w:color="auto" w:fill="FFFFFF"/>
          </w:tcPr>
          <w:p w:rsidR="00C74A41" w:rsidRPr="00585612" w:rsidRDefault="00C74A41" w:rsidP="00585612">
            <w:pPr>
              <w:pStyle w:val="Heading1"/>
              <w:jc w:val="both"/>
              <w:rPr>
                <w:b w:val="0"/>
              </w:rPr>
            </w:pPr>
            <w:r w:rsidRPr="00585612">
              <w:rPr>
                <w:b w:val="0"/>
              </w:rPr>
              <w:t>48</w:t>
            </w:r>
          </w:p>
        </w:tc>
        <w:tc>
          <w:tcPr>
            <w:tcW w:w="794" w:type="pct"/>
            <w:shd w:val="clear" w:color="auto" w:fill="FFFFFF"/>
          </w:tcPr>
          <w:p w:rsidR="00C74A41" w:rsidRPr="00585612" w:rsidRDefault="00C74A41" w:rsidP="00585612">
            <w:pPr>
              <w:pStyle w:val="Heading1"/>
              <w:jc w:val="both"/>
              <w:rPr>
                <w:b w:val="0"/>
              </w:rPr>
            </w:pPr>
            <w:r w:rsidRPr="00585612">
              <w:rPr>
                <w:b w:val="0"/>
              </w:rPr>
              <w:t>9</w:t>
            </w:r>
          </w:p>
        </w:tc>
        <w:tc>
          <w:tcPr>
            <w:tcW w:w="715" w:type="pct"/>
            <w:shd w:val="clear" w:color="auto" w:fill="FFFFFF"/>
          </w:tcPr>
          <w:p w:rsidR="00C74A41" w:rsidRPr="00585612" w:rsidRDefault="00C74A41" w:rsidP="00585612">
            <w:pPr>
              <w:pStyle w:val="Heading1"/>
              <w:jc w:val="both"/>
              <w:rPr>
                <w:b w:val="0"/>
              </w:rPr>
            </w:pPr>
            <w:r w:rsidRPr="00585612">
              <w:rPr>
                <w:b w:val="0"/>
              </w:rPr>
              <w:t>18</w:t>
            </w:r>
          </w:p>
        </w:tc>
      </w:tr>
      <w:tr w:rsidR="00C74A41" w:rsidRPr="00585612" w:rsidTr="00F86E3F">
        <w:trPr>
          <w:cantSplit/>
        </w:trPr>
        <w:tc>
          <w:tcPr>
            <w:tcW w:w="2910" w:type="pct"/>
            <w:gridSpan w:val="2"/>
            <w:tcBorders>
              <w:bottom w:val="single" w:sz="4" w:space="0" w:color="auto"/>
            </w:tcBorders>
            <w:shd w:val="clear" w:color="auto" w:fill="auto"/>
          </w:tcPr>
          <w:p w:rsidR="00C74A41" w:rsidRPr="00585612" w:rsidRDefault="00C74A41" w:rsidP="00585612">
            <w:pPr>
              <w:pStyle w:val="Heading1"/>
              <w:jc w:val="both"/>
              <w:rPr>
                <w:b w:val="0"/>
              </w:rPr>
            </w:pPr>
            <w:r w:rsidRPr="00585612">
              <w:rPr>
                <w:b w:val="0"/>
              </w:rPr>
              <w:t>Total</w:t>
            </w:r>
          </w:p>
        </w:tc>
        <w:tc>
          <w:tcPr>
            <w:tcW w:w="581" w:type="pct"/>
            <w:tcBorders>
              <w:bottom w:val="single" w:sz="4" w:space="0" w:color="auto"/>
            </w:tcBorders>
            <w:shd w:val="clear" w:color="auto" w:fill="FFFFFF"/>
          </w:tcPr>
          <w:p w:rsidR="00C74A41" w:rsidRPr="00585612" w:rsidRDefault="00C74A41" w:rsidP="00585612">
            <w:pPr>
              <w:pStyle w:val="Heading1"/>
              <w:jc w:val="both"/>
              <w:rPr>
                <w:b w:val="0"/>
              </w:rPr>
            </w:pPr>
            <w:r w:rsidRPr="00585612">
              <w:rPr>
                <w:b w:val="0"/>
              </w:rPr>
              <w:t>104</w:t>
            </w:r>
          </w:p>
        </w:tc>
        <w:tc>
          <w:tcPr>
            <w:tcW w:w="794" w:type="pct"/>
            <w:tcBorders>
              <w:bottom w:val="single" w:sz="4" w:space="0" w:color="auto"/>
            </w:tcBorders>
            <w:shd w:val="clear" w:color="auto" w:fill="FFFFFF"/>
          </w:tcPr>
          <w:p w:rsidR="00C74A41" w:rsidRPr="00585612" w:rsidRDefault="00C74A41" w:rsidP="00585612">
            <w:pPr>
              <w:pStyle w:val="Heading1"/>
              <w:jc w:val="both"/>
              <w:rPr>
                <w:b w:val="0"/>
              </w:rPr>
            </w:pPr>
            <w:r w:rsidRPr="00585612">
              <w:rPr>
                <w:b w:val="0"/>
              </w:rPr>
              <w:t>28</w:t>
            </w:r>
          </w:p>
        </w:tc>
        <w:tc>
          <w:tcPr>
            <w:tcW w:w="715" w:type="pct"/>
            <w:tcBorders>
              <w:bottom w:val="single" w:sz="4" w:space="0" w:color="auto"/>
            </w:tcBorders>
            <w:shd w:val="clear" w:color="auto" w:fill="FFFFFF"/>
          </w:tcPr>
          <w:p w:rsidR="00C74A41" w:rsidRPr="00585612" w:rsidRDefault="00C74A41" w:rsidP="00585612">
            <w:pPr>
              <w:pStyle w:val="Heading1"/>
              <w:jc w:val="both"/>
              <w:rPr>
                <w:b w:val="0"/>
              </w:rPr>
            </w:pPr>
            <w:r w:rsidRPr="00585612">
              <w:rPr>
                <w:b w:val="0"/>
              </w:rPr>
              <w:t>18</w:t>
            </w:r>
          </w:p>
        </w:tc>
      </w:tr>
    </w:tbl>
    <w:p w:rsidR="00C74A41" w:rsidRPr="00585612" w:rsidRDefault="00C74A41" w:rsidP="00585612">
      <w:pPr>
        <w:pStyle w:val="Heading1"/>
        <w:jc w:val="both"/>
        <w:rPr>
          <w:b w:val="0"/>
        </w:rPr>
      </w:pPr>
    </w:p>
    <w:p w:rsidR="00C74A41" w:rsidRDefault="00C74A41" w:rsidP="00585612">
      <w:pPr>
        <w:pStyle w:val="Heading1"/>
        <w:ind w:firstLine="615"/>
        <w:jc w:val="both"/>
        <w:rPr>
          <w:b w:val="0"/>
        </w:rPr>
      </w:pPr>
      <w:r w:rsidRPr="00585612">
        <w:rPr>
          <w:b w:val="0"/>
        </w:rPr>
        <w:t xml:space="preserve">Further descriptive analyses were carried out after the significance levels of both case studies have been determined. Among the respondent, 72% were female and 28% were male. The ranges of their age were from 15 to 20 years old at 38% and 21 to 25 years old at 62%.  The </w:t>
      </w:r>
      <w:proofErr w:type="spellStart"/>
      <w:r w:rsidRPr="00585612">
        <w:rPr>
          <w:b w:val="0"/>
        </w:rPr>
        <w:t>Musholla</w:t>
      </w:r>
      <w:proofErr w:type="spellEnd"/>
      <w:r w:rsidRPr="00585612">
        <w:rPr>
          <w:b w:val="0"/>
        </w:rPr>
        <w:t xml:space="preserve"> will be operated usually after 12 noon and users will start using it for </w:t>
      </w:r>
      <w:proofErr w:type="spellStart"/>
      <w:r w:rsidRPr="00585612">
        <w:rPr>
          <w:b w:val="0"/>
        </w:rPr>
        <w:t>Dhuhr</w:t>
      </w:r>
      <w:proofErr w:type="spellEnd"/>
      <w:r w:rsidRPr="00585612">
        <w:rPr>
          <w:b w:val="0"/>
        </w:rPr>
        <w:t xml:space="preserve">. Among the 150 users whose questionnaires were analysed, </w:t>
      </w:r>
      <w:fldSimple w:instr=" REF _Ref497228810 \h  \* MERGEFORMAT ">
        <w:r w:rsidRPr="00585612">
          <w:rPr>
            <w:b w:val="0"/>
          </w:rPr>
          <w:t>Figure 1</w:t>
        </w:r>
      </w:fldSimple>
      <w:r w:rsidRPr="00585612">
        <w:rPr>
          <w:b w:val="0"/>
        </w:rPr>
        <w:t xml:space="preserve"> shows the highest percentage was 48% for </w:t>
      </w:r>
      <w:proofErr w:type="spellStart"/>
      <w:r w:rsidRPr="00585612">
        <w:rPr>
          <w:b w:val="0"/>
        </w:rPr>
        <w:t>Dhuhr</w:t>
      </w:r>
      <w:proofErr w:type="spellEnd"/>
      <w:r w:rsidRPr="00585612">
        <w:rPr>
          <w:b w:val="0"/>
        </w:rPr>
        <w:t xml:space="preserve"> in between 2 pm to 3 pm. About 47% of the respondents used the </w:t>
      </w:r>
      <w:proofErr w:type="spellStart"/>
      <w:r w:rsidRPr="00585612">
        <w:rPr>
          <w:b w:val="0"/>
        </w:rPr>
        <w:t>musholla</w:t>
      </w:r>
      <w:proofErr w:type="spellEnd"/>
      <w:r w:rsidRPr="00585612">
        <w:rPr>
          <w:b w:val="0"/>
        </w:rPr>
        <w:t xml:space="preserve"> at 7 pm to 8 pm for </w:t>
      </w:r>
      <w:proofErr w:type="spellStart"/>
      <w:r w:rsidRPr="00585612">
        <w:rPr>
          <w:b w:val="0"/>
        </w:rPr>
        <w:t>Maghrib</w:t>
      </w:r>
      <w:proofErr w:type="spellEnd"/>
      <w:r w:rsidRPr="00585612">
        <w:rPr>
          <w:b w:val="0"/>
        </w:rPr>
        <w:t xml:space="preserve">. Other groups of time duration were in a minimum range of percentage at 23% to 6%.  This pattern can initially tell that more people tend to use the </w:t>
      </w:r>
      <w:proofErr w:type="spellStart"/>
      <w:r w:rsidRPr="00585612">
        <w:rPr>
          <w:b w:val="0"/>
        </w:rPr>
        <w:t>musholla</w:t>
      </w:r>
      <w:proofErr w:type="spellEnd"/>
      <w:r w:rsidRPr="00585612">
        <w:rPr>
          <w:b w:val="0"/>
        </w:rPr>
        <w:t xml:space="preserve"> for </w:t>
      </w:r>
      <w:proofErr w:type="spellStart"/>
      <w:r w:rsidRPr="00585612">
        <w:rPr>
          <w:b w:val="0"/>
        </w:rPr>
        <w:t>Dhuhr</w:t>
      </w:r>
      <w:proofErr w:type="spellEnd"/>
      <w:r w:rsidRPr="00585612">
        <w:rPr>
          <w:b w:val="0"/>
        </w:rPr>
        <w:t xml:space="preserve"> and </w:t>
      </w:r>
      <w:proofErr w:type="spellStart"/>
      <w:r w:rsidRPr="00585612">
        <w:rPr>
          <w:b w:val="0"/>
        </w:rPr>
        <w:t>Maghrib</w:t>
      </w:r>
      <w:proofErr w:type="spellEnd"/>
      <w:r w:rsidRPr="00585612">
        <w:rPr>
          <w:b w:val="0"/>
        </w:rPr>
        <w:t xml:space="preserve">. These patterns cannot be compared with results from other researchers as up to the knowledge of the researchers, statistics on </w:t>
      </w:r>
      <w:proofErr w:type="spellStart"/>
      <w:r w:rsidRPr="00585612">
        <w:rPr>
          <w:b w:val="0"/>
        </w:rPr>
        <w:t>mushollas</w:t>
      </w:r>
      <w:proofErr w:type="spellEnd"/>
      <w:r w:rsidRPr="00585612">
        <w:rPr>
          <w:b w:val="0"/>
        </w:rPr>
        <w:t xml:space="preserve"> usages in a shopping complex based on different time are still unavailable. </w:t>
      </w:r>
    </w:p>
    <w:p w:rsidR="00585612" w:rsidRPr="00585612" w:rsidRDefault="00585612" w:rsidP="00585612">
      <w:pPr>
        <w:pStyle w:val="Heading1"/>
        <w:ind w:firstLine="615"/>
        <w:jc w:val="both"/>
        <w:rPr>
          <w:b w:val="0"/>
        </w:rPr>
      </w:pPr>
    </w:p>
    <w:p w:rsidR="00C74A41" w:rsidRPr="00585612" w:rsidRDefault="00C74A41" w:rsidP="00585612">
      <w:pPr>
        <w:pStyle w:val="Heading1"/>
        <w:jc w:val="center"/>
        <w:rPr>
          <w:b w:val="0"/>
        </w:rPr>
      </w:pPr>
      <w:bookmarkStart w:id="4" w:name="_Ref497228810"/>
      <w:r w:rsidRPr="00585612">
        <w:rPr>
          <w:b w:val="0"/>
        </w:rPr>
        <w:t xml:space="preserve">Figure </w:t>
      </w:r>
      <w:r w:rsidR="00EE268E" w:rsidRPr="00EE268E">
        <w:rPr>
          <w:b w:val="0"/>
        </w:rPr>
        <w:fldChar w:fldCharType="begin"/>
      </w:r>
      <w:r w:rsidRPr="00585612">
        <w:rPr>
          <w:b w:val="0"/>
        </w:rPr>
        <w:instrText xml:space="preserve"> SEQ Figure \* ARABIC </w:instrText>
      </w:r>
      <w:r w:rsidR="00EE268E" w:rsidRPr="00EE268E">
        <w:rPr>
          <w:b w:val="0"/>
        </w:rPr>
        <w:fldChar w:fldCharType="separate"/>
      </w:r>
      <w:r w:rsidRPr="00585612">
        <w:rPr>
          <w:b w:val="0"/>
        </w:rPr>
        <w:t>1</w:t>
      </w:r>
      <w:r w:rsidR="00EE268E" w:rsidRPr="00585612">
        <w:rPr>
          <w:b w:val="0"/>
          <w:lang w:val="en-US"/>
        </w:rPr>
        <w:fldChar w:fldCharType="end"/>
      </w:r>
      <w:bookmarkEnd w:id="4"/>
      <w:r w:rsidRPr="00585612">
        <w:rPr>
          <w:b w:val="0"/>
        </w:rPr>
        <w:t xml:space="preserve">: Time using the </w:t>
      </w:r>
      <w:proofErr w:type="spellStart"/>
      <w:r w:rsidRPr="00585612">
        <w:rPr>
          <w:b w:val="0"/>
        </w:rPr>
        <w:t>musholla</w:t>
      </w:r>
      <w:proofErr w:type="spellEnd"/>
    </w:p>
    <w:p w:rsidR="00C74A41" w:rsidRPr="00585612" w:rsidRDefault="00C74A41" w:rsidP="00585612">
      <w:pPr>
        <w:pStyle w:val="Heading1"/>
        <w:jc w:val="center"/>
        <w:rPr>
          <w:b w:val="0"/>
        </w:rPr>
      </w:pPr>
      <w:r w:rsidRPr="00585612">
        <w:rPr>
          <w:b w:val="0"/>
          <w:noProof/>
          <w:lang w:val="ms-MY" w:eastAsia="ms-MY"/>
        </w:rPr>
        <w:drawing>
          <wp:inline distT="0" distB="0" distL="0" distR="0">
            <wp:extent cx="4276725" cy="2328158"/>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74A41" w:rsidRPr="00585612" w:rsidRDefault="00C74A41" w:rsidP="00585612">
      <w:pPr>
        <w:pStyle w:val="Heading1"/>
        <w:jc w:val="both"/>
        <w:rPr>
          <w:b w:val="0"/>
        </w:rPr>
      </w:pPr>
    </w:p>
    <w:p w:rsidR="00C74A41" w:rsidRPr="00585612" w:rsidRDefault="00C74A41" w:rsidP="00585612">
      <w:pPr>
        <w:pStyle w:val="Heading1"/>
        <w:jc w:val="both"/>
        <w:rPr>
          <w:i/>
          <w:lang w:val="en-US"/>
        </w:rPr>
      </w:pPr>
      <w:r w:rsidRPr="00585612">
        <w:rPr>
          <w:i/>
          <w:lang w:val="en-US"/>
        </w:rPr>
        <w:lastRenderedPageBreak/>
        <w:t xml:space="preserve">Factor analyses </w:t>
      </w:r>
    </w:p>
    <w:p w:rsidR="00C74A41" w:rsidRPr="00585612" w:rsidRDefault="00C74A41" w:rsidP="00585612">
      <w:pPr>
        <w:pStyle w:val="Heading1"/>
        <w:jc w:val="both"/>
        <w:rPr>
          <w:b w:val="0"/>
        </w:rPr>
      </w:pPr>
      <w:r w:rsidRPr="00585612">
        <w:rPr>
          <w:b w:val="0"/>
          <w:lang w:val="en-US"/>
        </w:rPr>
        <w:t>Principal Component Analysis (PCA) were employed to do the data reduction and reducing the numbers of variables (</w:t>
      </w:r>
      <w:proofErr w:type="spellStart"/>
      <w:r w:rsidRPr="00585612">
        <w:rPr>
          <w:b w:val="0"/>
          <w:lang w:val="en-US"/>
        </w:rPr>
        <w:t>Statsoft</w:t>
      </w:r>
      <w:proofErr w:type="spellEnd"/>
      <w:r w:rsidRPr="00585612">
        <w:rPr>
          <w:b w:val="0"/>
          <w:lang w:val="en-US"/>
        </w:rPr>
        <w:t xml:space="preserve"> Inc., 2013) by determining the importance of a set observed variables (Field, 2009). The PCA was carried out with SPSS v.24.0 to identify the factors that are needed to explain the factors.  The Kaiser-Meyer-</w:t>
      </w:r>
      <w:proofErr w:type="spellStart"/>
      <w:r w:rsidRPr="00585612">
        <w:rPr>
          <w:b w:val="0"/>
          <w:lang w:val="en-US"/>
        </w:rPr>
        <w:t>Olkin</w:t>
      </w:r>
      <w:proofErr w:type="spellEnd"/>
      <w:r w:rsidRPr="00585612">
        <w:rPr>
          <w:b w:val="0"/>
          <w:lang w:val="en-US"/>
        </w:rPr>
        <w:t xml:space="preserve"> measures verified the sampling adequacy for the analysis, KMO = .663 (‘mediocre’ according to Field, 2009). Bartlett’s test of </w:t>
      </w:r>
      <w:proofErr w:type="spellStart"/>
      <w:r w:rsidRPr="00585612">
        <w:rPr>
          <w:b w:val="0"/>
          <w:lang w:val="en-US"/>
        </w:rPr>
        <w:t>sphericity</w:t>
      </w:r>
      <w:proofErr w:type="spellEnd"/>
      <w:r w:rsidRPr="00585612">
        <w:rPr>
          <w:b w:val="0"/>
          <w:lang w:val="en-US"/>
        </w:rPr>
        <w:t xml:space="preserve"> is</w:t>
      </w:r>
      <w:r w:rsidRPr="00585612">
        <w:rPr>
          <w:b w:val="0"/>
          <w:i/>
        </w:rPr>
        <w:t xml:space="preserve"> X</w:t>
      </w:r>
      <w:r w:rsidRPr="00585612">
        <w:rPr>
          <w:b w:val="0"/>
          <w:vertAlign w:val="superscript"/>
        </w:rPr>
        <w:t>2</w:t>
      </w:r>
      <w:r w:rsidRPr="00585612">
        <w:rPr>
          <w:b w:val="0"/>
        </w:rPr>
        <w:t xml:space="preserve">(630) = 7878.666, </w:t>
      </w:r>
      <w:r w:rsidRPr="00585612">
        <w:rPr>
          <w:b w:val="0"/>
          <w:i/>
        </w:rPr>
        <w:t>p</w:t>
      </w:r>
      <w:r w:rsidRPr="00585612">
        <w:rPr>
          <w:b w:val="0"/>
        </w:rPr>
        <w:t xml:space="preserve"> &lt;.001</w:t>
      </w:r>
      <w:r w:rsidRPr="00585612">
        <w:rPr>
          <w:b w:val="0"/>
          <w:lang w:val="en-US"/>
        </w:rPr>
        <w:t>, indicated that correlations between item were sufficiently large for the PCA. These show that the sample size is adequate for factor analysis . The PCA was conducted on the 36 items with orthogonal rotation (</w:t>
      </w:r>
      <w:proofErr w:type="spellStart"/>
      <w:r w:rsidRPr="00585612">
        <w:rPr>
          <w:b w:val="0"/>
          <w:lang w:val="en-US"/>
        </w:rPr>
        <w:t>varimax</w:t>
      </w:r>
      <w:proofErr w:type="spellEnd"/>
      <w:r w:rsidRPr="00585612">
        <w:rPr>
          <w:b w:val="0"/>
          <w:lang w:val="en-US"/>
        </w:rPr>
        <w:t xml:space="preserve"> with Kaiser Normalization). Seven components had </w:t>
      </w:r>
      <w:proofErr w:type="spellStart"/>
      <w:r w:rsidRPr="00585612">
        <w:rPr>
          <w:b w:val="0"/>
          <w:lang w:val="en-US"/>
        </w:rPr>
        <w:t>eigenvalues</w:t>
      </w:r>
      <w:proofErr w:type="spellEnd"/>
      <w:r w:rsidRPr="00585612">
        <w:rPr>
          <w:b w:val="0"/>
          <w:lang w:val="en-US"/>
        </w:rPr>
        <w:t xml:space="preserve"> over Kaiser’s criterion of 1 and in combination explained 91.72% of the variance. </w:t>
      </w:r>
      <w:r w:rsidR="00EE268E" w:rsidRPr="00585612">
        <w:rPr>
          <w:b w:val="0"/>
          <w:lang w:val="en-US"/>
        </w:rPr>
        <w:fldChar w:fldCharType="begin"/>
      </w:r>
      <w:r w:rsidRPr="00585612">
        <w:rPr>
          <w:b w:val="0"/>
          <w:lang w:val="en-US"/>
        </w:rPr>
        <w:instrText xml:space="preserve"> REF _Ref497295953 \h  \* MERGEFORMAT </w:instrText>
      </w:r>
      <w:r w:rsidR="00EE268E" w:rsidRPr="00585612">
        <w:rPr>
          <w:b w:val="0"/>
          <w:lang w:val="en-US"/>
        </w:rPr>
      </w:r>
      <w:r w:rsidR="00EE268E" w:rsidRPr="00585612">
        <w:rPr>
          <w:b w:val="0"/>
          <w:lang w:val="en-US"/>
        </w:rPr>
        <w:fldChar w:fldCharType="separate"/>
      </w:r>
    </w:p>
    <w:p w:rsidR="00C74A41" w:rsidRPr="00585612" w:rsidRDefault="00C74A41" w:rsidP="00585612">
      <w:pPr>
        <w:pStyle w:val="Heading1"/>
        <w:ind w:firstLine="615"/>
        <w:jc w:val="both"/>
        <w:rPr>
          <w:b w:val="0"/>
          <w:lang w:val="en-US"/>
        </w:rPr>
      </w:pPr>
      <w:r w:rsidRPr="00585612">
        <w:rPr>
          <w:b w:val="0"/>
        </w:rPr>
        <w:t>Table 4</w:t>
      </w:r>
      <w:r w:rsidR="00EE268E" w:rsidRPr="00585612">
        <w:rPr>
          <w:b w:val="0"/>
          <w:lang w:val="en-US"/>
        </w:rPr>
        <w:fldChar w:fldCharType="end"/>
      </w:r>
      <w:r w:rsidRPr="00585612">
        <w:rPr>
          <w:b w:val="0"/>
          <w:lang w:val="en-US"/>
        </w:rPr>
        <w:t xml:space="preserve"> provides all the factor loadings after rotation. Six variables are retained as their factor loadings were more than 0.4 with two factors were deleted due to the given reasons. Results for reliability analysis for the remaining factors show good and acceptable </w:t>
      </w:r>
      <w:proofErr w:type="spellStart"/>
      <w:r w:rsidRPr="00585612">
        <w:rPr>
          <w:b w:val="0"/>
          <w:lang w:val="en-US"/>
        </w:rPr>
        <w:t>Cronbach’s</w:t>
      </w:r>
      <w:proofErr w:type="spellEnd"/>
      <w:r w:rsidRPr="00585612">
        <w:rPr>
          <w:b w:val="0"/>
          <w:lang w:val="en-US"/>
        </w:rPr>
        <w:t xml:space="preserve"> α between .698 to .960.  </w:t>
      </w:r>
      <w:bookmarkStart w:id="5" w:name="_Ref497295953"/>
    </w:p>
    <w:p w:rsidR="00C74A41" w:rsidRPr="00585612" w:rsidRDefault="00C74A41" w:rsidP="00585612">
      <w:pPr>
        <w:pStyle w:val="Heading1"/>
        <w:jc w:val="both"/>
        <w:rPr>
          <w:b w:val="0"/>
        </w:rPr>
      </w:pPr>
    </w:p>
    <w:p w:rsidR="00C74A41" w:rsidRPr="00585612" w:rsidRDefault="00C74A41" w:rsidP="00585612">
      <w:pPr>
        <w:pStyle w:val="Heading1"/>
        <w:jc w:val="center"/>
        <w:rPr>
          <w:b w:val="0"/>
          <w:lang w:val="en-US"/>
        </w:rPr>
      </w:pPr>
      <w:r w:rsidRPr="00585612">
        <w:rPr>
          <w:b w:val="0"/>
        </w:rPr>
        <w:t xml:space="preserve">Table </w:t>
      </w:r>
      <w:r w:rsidR="00EE268E" w:rsidRPr="00EE268E">
        <w:rPr>
          <w:b w:val="0"/>
        </w:rPr>
        <w:fldChar w:fldCharType="begin"/>
      </w:r>
      <w:r w:rsidRPr="00585612">
        <w:rPr>
          <w:b w:val="0"/>
        </w:rPr>
        <w:instrText xml:space="preserve"> SEQ Table \* ARABIC </w:instrText>
      </w:r>
      <w:r w:rsidR="00EE268E" w:rsidRPr="00EE268E">
        <w:rPr>
          <w:b w:val="0"/>
        </w:rPr>
        <w:fldChar w:fldCharType="separate"/>
      </w:r>
      <w:r w:rsidRPr="00585612">
        <w:rPr>
          <w:b w:val="0"/>
        </w:rPr>
        <w:t>4</w:t>
      </w:r>
      <w:r w:rsidR="00EE268E" w:rsidRPr="00585612">
        <w:rPr>
          <w:b w:val="0"/>
          <w:lang w:val="en-US"/>
        </w:rPr>
        <w:fldChar w:fldCharType="end"/>
      </w:r>
      <w:bookmarkEnd w:id="5"/>
      <w:r w:rsidRPr="00585612">
        <w:rPr>
          <w:b w:val="0"/>
        </w:rPr>
        <w:t>: Rotated factor matrix (N=150)</w:t>
      </w:r>
    </w:p>
    <w:tbl>
      <w:tblPr>
        <w:tblW w:w="4868" w:type="pct"/>
        <w:tblInd w:w="250" w:type="dxa"/>
        <w:tblLook w:val="04A0"/>
      </w:tblPr>
      <w:tblGrid>
        <w:gridCol w:w="3201"/>
        <w:gridCol w:w="924"/>
        <w:gridCol w:w="924"/>
        <w:gridCol w:w="924"/>
        <w:gridCol w:w="818"/>
        <w:gridCol w:w="818"/>
        <w:gridCol w:w="818"/>
        <w:gridCol w:w="818"/>
      </w:tblGrid>
      <w:tr w:rsidR="00C74A41" w:rsidRPr="00585612" w:rsidTr="00585612">
        <w:trPr>
          <w:trHeight w:val="265"/>
        </w:trPr>
        <w:tc>
          <w:tcPr>
            <w:tcW w:w="1732" w:type="pct"/>
            <w:vMerge w:val="restar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p>
        </w:tc>
        <w:tc>
          <w:tcPr>
            <w:tcW w:w="3268" w:type="pct"/>
            <w:gridSpan w:val="7"/>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Component</w:t>
            </w:r>
          </w:p>
        </w:tc>
      </w:tr>
      <w:tr w:rsidR="00C74A41" w:rsidRPr="00585612" w:rsidTr="00585612">
        <w:trPr>
          <w:trHeight w:val="288"/>
        </w:trPr>
        <w:tc>
          <w:tcPr>
            <w:tcW w:w="1732" w:type="pct"/>
            <w:vMerge/>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p>
        </w:tc>
        <w:tc>
          <w:tcPr>
            <w:tcW w:w="500"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1</w:t>
            </w:r>
          </w:p>
        </w:tc>
        <w:tc>
          <w:tcPr>
            <w:tcW w:w="500"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2</w:t>
            </w:r>
          </w:p>
        </w:tc>
        <w:tc>
          <w:tcPr>
            <w:tcW w:w="500"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3</w:t>
            </w:r>
          </w:p>
        </w:tc>
        <w:tc>
          <w:tcPr>
            <w:tcW w:w="442"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4</w:t>
            </w:r>
          </w:p>
        </w:tc>
        <w:tc>
          <w:tcPr>
            <w:tcW w:w="442"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5</w:t>
            </w:r>
          </w:p>
        </w:tc>
        <w:tc>
          <w:tcPr>
            <w:tcW w:w="442"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6</w:t>
            </w:r>
          </w:p>
        </w:tc>
        <w:tc>
          <w:tcPr>
            <w:tcW w:w="442"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7</w:t>
            </w:r>
          </w:p>
        </w:tc>
      </w:tr>
      <w:tr w:rsidR="00C74A41" w:rsidRPr="00585612" w:rsidTr="00585612">
        <w:trPr>
          <w:trHeight w:val="288"/>
        </w:trPr>
        <w:tc>
          <w:tcPr>
            <w:tcW w:w="1732" w:type="pct"/>
            <w:tcBorders>
              <w:top w:val="single" w:sz="4" w:space="0" w:color="auto"/>
            </w:tcBorders>
            <w:shd w:val="clear" w:color="auto" w:fill="D9D9D9"/>
          </w:tcPr>
          <w:p w:rsidR="00C74A41" w:rsidRPr="00585612" w:rsidRDefault="00C74A41" w:rsidP="00585612">
            <w:pPr>
              <w:pStyle w:val="Heading1"/>
              <w:jc w:val="both"/>
              <w:rPr>
                <w:b w:val="0"/>
              </w:rPr>
            </w:pPr>
            <w:r w:rsidRPr="00585612">
              <w:rPr>
                <w:b w:val="0"/>
              </w:rPr>
              <w:t xml:space="preserve">GROUP 1: SIZE, SPACE AND DISABLE FACILITIES </w:t>
            </w:r>
          </w:p>
          <w:p w:rsidR="00C74A41" w:rsidRPr="00585612" w:rsidRDefault="00C74A41" w:rsidP="00585612">
            <w:pPr>
              <w:pStyle w:val="Heading1"/>
              <w:jc w:val="both"/>
              <w:rPr>
                <w:b w:val="0"/>
              </w:rPr>
            </w:pPr>
            <w:r w:rsidRPr="00585612">
              <w:rPr>
                <w:b w:val="0"/>
              </w:rPr>
              <w:t>There is separation between space for shoes to ablution area</w:t>
            </w:r>
          </w:p>
        </w:tc>
        <w:tc>
          <w:tcPr>
            <w:tcW w:w="500" w:type="pct"/>
            <w:tcBorders>
              <w:top w:val="single" w:sz="4" w:space="0" w:color="auto"/>
            </w:tcBorders>
            <w:shd w:val="clear" w:color="auto" w:fill="D9D9D9"/>
          </w:tcPr>
          <w:p w:rsidR="00C74A41" w:rsidRPr="00585612" w:rsidRDefault="00C74A41" w:rsidP="00585612">
            <w:pPr>
              <w:pStyle w:val="Heading1"/>
              <w:jc w:val="both"/>
              <w:rPr>
                <w:b w:val="0"/>
              </w:rPr>
            </w:pPr>
          </w:p>
          <w:p w:rsidR="00C74A41" w:rsidRPr="00585612" w:rsidRDefault="00C74A41" w:rsidP="00585612">
            <w:pPr>
              <w:pStyle w:val="Heading1"/>
              <w:jc w:val="both"/>
              <w:rPr>
                <w:b w:val="0"/>
              </w:rPr>
            </w:pPr>
          </w:p>
          <w:p w:rsidR="00C74A41" w:rsidRPr="00585612" w:rsidRDefault="00C74A41" w:rsidP="00585612">
            <w:pPr>
              <w:pStyle w:val="Heading1"/>
              <w:jc w:val="both"/>
              <w:rPr>
                <w:b w:val="0"/>
              </w:rPr>
            </w:pPr>
            <w:r w:rsidRPr="00585612">
              <w:rPr>
                <w:b w:val="0"/>
              </w:rPr>
              <w:t>.960</w:t>
            </w:r>
          </w:p>
        </w:tc>
        <w:tc>
          <w:tcPr>
            <w:tcW w:w="500" w:type="pct"/>
            <w:tcBorders>
              <w:top w:val="single" w:sz="4" w:space="0" w:color="auto"/>
            </w:tcBorders>
            <w:shd w:val="clear" w:color="auto" w:fill="D9D9D9"/>
          </w:tcPr>
          <w:p w:rsidR="00C74A41" w:rsidRPr="00585612" w:rsidRDefault="00C74A41" w:rsidP="00585612">
            <w:pPr>
              <w:pStyle w:val="Heading1"/>
              <w:jc w:val="both"/>
              <w:rPr>
                <w:b w:val="0"/>
              </w:rPr>
            </w:pPr>
          </w:p>
        </w:tc>
        <w:tc>
          <w:tcPr>
            <w:tcW w:w="500" w:type="pct"/>
            <w:tcBorders>
              <w:top w:val="single" w:sz="4" w:space="0" w:color="auto"/>
            </w:tcBorders>
            <w:shd w:val="clear" w:color="auto" w:fill="D9D9D9"/>
          </w:tcPr>
          <w:p w:rsidR="00C74A41" w:rsidRPr="00585612" w:rsidRDefault="00C74A41" w:rsidP="00585612">
            <w:pPr>
              <w:pStyle w:val="Heading1"/>
              <w:jc w:val="both"/>
              <w:rPr>
                <w:b w:val="0"/>
              </w:rPr>
            </w:pPr>
          </w:p>
        </w:tc>
        <w:tc>
          <w:tcPr>
            <w:tcW w:w="442" w:type="pct"/>
            <w:tcBorders>
              <w:top w:val="single" w:sz="4" w:space="0" w:color="auto"/>
            </w:tcBorders>
            <w:shd w:val="clear" w:color="auto" w:fill="D9D9D9"/>
          </w:tcPr>
          <w:p w:rsidR="00C74A41" w:rsidRPr="00585612" w:rsidRDefault="00C74A41" w:rsidP="00585612">
            <w:pPr>
              <w:pStyle w:val="Heading1"/>
              <w:jc w:val="both"/>
              <w:rPr>
                <w:b w:val="0"/>
              </w:rPr>
            </w:pPr>
          </w:p>
        </w:tc>
        <w:tc>
          <w:tcPr>
            <w:tcW w:w="442" w:type="pct"/>
            <w:tcBorders>
              <w:top w:val="single" w:sz="4" w:space="0" w:color="auto"/>
            </w:tcBorders>
            <w:shd w:val="clear" w:color="auto" w:fill="D9D9D9"/>
          </w:tcPr>
          <w:p w:rsidR="00C74A41" w:rsidRPr="00585612" w:rsidRDefault="00C74A41" w:rsidP="00585612">
            <w:pPr>
              <w:pStyle w:val="Heading1"/>
              <w:jc w:val="both"/>
              <w:rPr>
                <w:b w:val="0"/>
              </w:rPr>
            </w:pPr>
          </w:p>
        </w:tc>
        <w:tc>
          <w:tcPr>
            <w:tcW w:w="442" w:type="pct"/>
            <w:tcBorders>
              <w:top w:val="single" w:sz="4" w:space="0" w:color="auto"/>
            </w:tcBorders>
            <w:shd w:val="clear" w:color="auto" w:fill="D9D9D9"/>
          </w:tcPr>
          <w:p w:rsidR="00C74A41" w:rsidRPr="00585612" w:rsidRDefault="00C74A41" w:rsidP="00585612">
            <w:pPr>
              <w:pStyle w:val="Heading1"/>
              <w:jc w:val="both"/>
              <w:rPr>
                <w:b w:val="0"/>
              </w:rPr>
            </w:pPr>
          </w:p>
        </w:tc>
        <w:tc>
          <w:tcPr>
            <w:tcW w:w="442" w:type="pct"/>
            <w:tcBorders>
              <w:top w:val="single" w:sz="4" w:space="0" w:color="auto"/>
            </w:tcBorders>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Effective ablution area to avoid overcrowding</w:t>
            </w:r>
          </w:p>
        </w:tc>
        <w:tc>
          <w:tcPr>
            <w:tcW w:w="500" w:type="pct"/>
            <w:shd w:val="clear" w:color="auto" w:fill="D9D9D9"/>
          </w:tcPr>
          <w:p w:rsidR="00C74A41" w:rsidRPr="00585612" w:rsidRDefault="00C74A41" w:rsidP="00585612">
            <w:pPr>
              <w:pStyle w:val="Heading1"/>
              <w:jc w:val="both"/>
              <w:rPr>
                <w:b w:val="0"/>
              </w:rPr>
            </w:pPr>
            <w:r w:rsidRPr="00585612">
              <w:rPr>
                <w:b w:val="0"/>
              </w:rPr>
              <w:t>.959</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Space for shoes is appropriate and neat</w:t>
            </w:r>
          </w:p>
        </w:tc>
        <w:tc>
          <w:tcPr>
            <w:tcW w:w="500" w:type="pct"/>
            <w:shd w:val="clear" w:color="auto" w:fill="D9D9D9"/>
          </w:tcPr>
          <w:p w:rsidR="00C74A41" w:rsidRPr="00585612" w:rsidRDefault="00C74A41" w:rsidP="00585612">
            <w:pPr>
              <w:pStyle w:val="Heading1"/>
              <w:jc w:val="both"/>
              <w:rPr>
                <w:b w:val="0"/>
              </w:rPr>
            </w:pPr>
            <w:r w:rsidRPr="00585612">
              <w:rPr>
                <w:b w:val="0"/>
              </w:rPr>
              <w:t>.959</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65"/>
        </w:trPr>
        <w:tc>
          <w:tcPr>
            <w:tcW w:w="1732" w:type="pct"/>
            <w:shd w:val="clear" w:color="auto" w:fill="D9D9D9"/>
          </w:tcPr>
          <w:p w:rsidR="00C74A41" w:rsidRPr="00585612" w:rsidRDefault="00C74A41" w:rsidP="00585612">
            <w:pPr>
              <w:pStyle w:val="Heading1"/>
              <w:jc w:val="both"/>
              <w:rPr>
                <w:b w:val="0"/>
              </w:rPr>
            </w:pPr>
            <w:r w:rsidRPr="00585612">
              <w:rPr>
                <w:b w:val="0"/>
              </w:rPr>
              <w:t>Effective space arrangement for waiting area during ablution to avoid overcrowding</w:t>
            </w:r>
          </w:p>
        </w:tc>
        <w:tc>
          <w:tcPr>
            <w:tcW w:w="500" w:type="pct"/>
            <w:shd w:val="clear" w:color="auto" w:fill="D9D9D9"/>
          </w:tcPr>
          <w:p w:rsidR="00C74A41" w:rsidRPr="00585612" w:rsidRDefault="00C74A41" w:rsidP="00585612">
            <w:pPr>
              <w:pStyle w:val="Heading1"/>
              <w:jc w:val="both"/>
              <w:rPr>
                <w:b w:val="0"/>
              </w:rPr>
            </w:pPr>
            <w:r w:rsidRPr="00585612">
              <w:rPr>
                <w:b w:val="0"/>
              </w:rPr>
              <w:t>.959</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Rack to put personal belongings during ablution</w:t>
            </w:r>
          </w:p>
        </w:tc>
        <w:tc>
          <w:tcPr>
            <w:tcW w:w="500" w:type="pct"/>
            <w:shd w:val="clear" w:color="auto" w:fill="D9D9D9"/>
          </w:tcPr>
          <w:p w:rsidR="00C74A41" w:rsidRPr="00585612" w:rsidRDefault="00C74A41" w:rsidP="00585612">
            <w:pPr>
              <w:pStyle w:val="Heading1"/>
              <w:jc w:val="both"/>
              <w:rPr>
                <w:b w:val="0"/>
              </w:rPr>
            </w:pPr>
            <w:r w:rsidRPr="00585612">
              <w:rPr>
                <w:b w:val="0"/>
              </w:rPr>
              <w:t>.955</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The distance of one water taps to another is appropriate</w:t>
            </w:r>
          </w:p>
        </w:tc>
        <w:tc>
          <w:tcPr>
            <w:tcW w:w="500" w:type="pct"/>
            <w:shd w:val="clear" w:color="auto" w:fill="D9D9D9"/>
          </w:tcPr>
          <w:p w:rsidR="00C74A41" w:rsidRPr="00585612" w:rsidRDefault="00C74A41" w:rsidP="00585612">
            <w:pPr>
              <w:pStyle w:val="Heading1"/>
              <w:jc w:val="both"/>
              <w:rPr>
                <w:b w:val="0"/>
              </w:rPr>
            </w:pPr>
            <w:r w:rsidRPr="00585612">
              <w:rPr>
                <w:b w:val="0"/>
              </w:rPr>
              <w:t>.903</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The distance of water tap from users is appropriate</w:t>
            </w:r>
          </w:p>
        </w:tc>
        <w:tc>
          <w:tcPr>
            <w:tcW w:w="500" w:type="pct"/>
            <w:shd w:val="clear" w:color="auto" w:fill="D9D9D9"/>
          </w:tcPr>
          <w:p w:rsidR="00C74A41" w:rsidRPr="00585612" w:rsidRDefault="00C74A41" w:rsidP="00585612">
            <w:pPr>
              <w:pStyle w:val="Heading1"/>
              <w:jc w:val="both"/>
              <w:rPr>
                <w:b w:val="0"/>
              </w:rPr>
            </w:pPr>
            <w:r w:rsidRPr="00585612">
              <w:rPr>
                <w:b w:val="0"/>
              </w:rPr>
              <w:t>.903</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Number of pipes at ablution area is adequate</w:t>
            </w:r>
          </w:p>
        </w:tc>
        <w:tc>
          <w:tcPr>
            <w:tcW w:w="500" w:type="pct"/>
            <w:shd w:val="clear" w:color="auto" w:fill="D9D9D9"/>
          </w:tcPr>
          <w:p w:rsidR="00C74A41" w:rsidRPr="00585612" w:rsidRDefault="00C74A41" w:rsidP="00585612">
            <w:pPr>
              <w:pStyle w:val="Heading1"/>
              <w:jc w:val="both"/>
              <w:rPr>
                <w:b w:val="0"/>
              </w:rPr>
            </w:pPr>
            <w:r w:rsidRPr="00585612">
              <w:rPr>
                <w:b w:val="0"/>
              </w:rPr>
              <w:t>.894</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Sufficient shoe rack, appropriate and ergonomic</w:t>
            </w:r>
          </w:p>
        </w:tc>
        <w:tc>
          <w:tcPr>
            <w:tcW w:w="500" w:type="pct"/>
            <w:shd w:val="clear" w:color="auto" w:fill="D9D9D9"/>
          </w:tcPr>
          <w:p w:rsidR="00C74A41" w:rsidRPr="00585612" w:rsidRDefault="00C74A41" w:rsidP="00585612">
            <w:pPr>
              <w:pStyle w:val="Heading1"/>
              <w:jc w:val="both"/>
              <w:rPr>
                <w:b w:val="0"/>
              </w:rPr>
            </w:pPr>
            <w:r w:rsidRPr="00585612">
              <w:rPr>
                <w:b w:val="0"/>
              </w:rPr>
              <w:t>.893</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Type of water tap is appropriate</w:t>
            </w:r>
          </w:p>
        </w:tc>
        <w:tc>
          <w:tcPr>
            <w:tcW w:w="500" w:type="pct"/>
            <w:shd w:val="clear" w:color="auto" w:fill="D9D9D9"/>
          </w:tcPr>
          <w:p w:rsidR="00C74A41" w:rsidRPr="00585612" w:rsidRDefault="00C74A41" w:rsidP="00585612">
            <w:pPr>
              <w:pStyle w:val="Heading1"/>
              <w:jc w:val="both"/>
              <w:rPr>
                <w:b w:val="0"/>
              </w:rPr>
            </w:pPr>
            <w:r w:rsidRPr="00585612">
              <w:rPr>
                <w:b w:val="0"/>
              </w:rPr>
              <w:t>.873</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 xml:space="preserve">Easy access for disable to take </w:t>
            </w:r>
            <w:proofErr w:type="spellStart"/>
            <w:r w:rsidRPr="00585612">
              <w:rPr>
                <w:b w:val="0"/>
              </w:rPr>
              <w:t>wudu</w:t>
            </w:r>
            <w:proofErr w:type="spellEnd"/>
            <w:r w:rsidRPr="00585612">
              <w:rPr>
                <w:b w:val="0"/>
              </w:rPr>
              <w:t>'</w:t>
            </w:r>
          </w:p>
        </w:tc>
        <w:tc>
          <w:tcPr>
            <w:tcW w:w="500" w:type="pct"/>
            <w:shd w:val="clear" w:color="auto" w:fill="D9D9D9"/>
          </w:tcPr>
          <w:p w:rsidR="00C74A41" w:rsidRPr="00585612" w:rsidRDefault="00C74A41" w:rsidP="00585612">
            <w:pPr>
              <w:pStyle w:val="Heading1"/>
              <w:jc w:val="both"/>
              <w:rPr>
                <w:b w:val="0"/>
              </w:rPr>
            </w:pPr>
            <w:r w:rsidRPr="00585612">
              <w:rPr>
                <w:b w:val="0"/>
              </w:rPr>
              <w:t>.770</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Easy access for disable to the prayer room</w:t>
            </w:r>
          </w:p>
        </w:tc>
        <w:tc>
          <w:tcPr>
            <w:tcW w:w="500" w:type="pct"/>
            <w:shd w:val="clear" w:color="auto" w:fill="D9D9D9"/>
          </w:tcPr>
          <w:p w:rsidR="00C74A41" w:rsidRPr="00585612" w:rsidRDefault="00C74A41" w:rsidP="00585612">
            <w:pPr>
              <w:pStyle w:val="Heading1"/>
              <w:jc w:val="both"/>
              <w:rPr>
                <w:b w:val="0"/>
              </w:rPr>
            </w:pPr>
            <w:r w:rsidRPr="00585612">
              <w:rPr>
                <w:b w:val="0"/>
              </w:rPr>
              <w:t>.728</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GROUP 2: COMFORT AND SAFETY</w:t>
            </w:r>
          </w:p>
          <w:p w:rsidR="00C74A41" w:rsidRPr="00585612" w:rsidRDefault="00C74A41" w:rsidP="00585612">
            <w:pPr>
              <w:pStyle w:val="Heading1"/>
              <w:jc w:val="both"/>
              <w:rPr>
                <w:b w:val="0"/>
              </w:rPr>
            </w:pPr>
            <w:r w:rsidRPr="00585612">
              <w:rPr>
                <w:b w:val="0"/>
              </w:rPr>
              <w:t>No stagnant water at the ablution area</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p w:rsidR="00C74A41" w:rsidRPr="00585612" w:rsidRDefault="00C74A41" w:rsidP="00585612">
            <w:pPr>
              <w:pStyle w:val="Heading1"/>
              <w:jc w:val="both"/>
              <w:rPr>
                <w:b w:val="0"/>
              </w:rPr>
            </w:pPr>
          </w:p>
          <w:p w:rsidR="00C74A41" w:rsidRPr="00585612" w:rsidRDefault="00C74A41" w:rsidP="00585612">
            <w:pPr>
              <w:pStyle w:val="Heading1"/>
              <w:jc w:val="both"/>
              <w:rPr>
                <w:b w:val="0"/>
              </w:rPr>
            </w:pPr>
            <w:r w:rsidRPr="00585612">
              <w:rPr>
                <w:b w:val="0"/>
              </w:rPr>
              <w:t>.932</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Distance from ablution area to prayer hall is appropriate</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r w:rsidRPr="00585612">
              <w:rPr>
                <w:b w:val="0"/>
              </w:rPr>
              <w:t>.932</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 xml:space="preserve">Comfort body position during ablution </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r w:rsidRPr="00585612">
              <w:rPr>
                <w:b w:val="0"/>
              </w:rPr>
              <w:t>.932</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proofErr w:type="spellStart"/>
            <w:r w:rsidRPr="00585612">
              <w:rPr>
                <w:b w:val="0"/>
              </w:rPr>
              <w:t>Aurat</w:t>
            </w:r>
            <w:proofErr w:type="spellEnd"/>
            <w:r w:rsidRPr="00585612">
              <w:rPr>
                <w:b w:val="0"/>
              </w:rPr>
              <w:t xml:space="preserve"> is under control during ablution</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r w:rsidRPr="00585612">
              <w:rPr>
                <w:b w:val="0"/>
              </w:rPr>
              <w:t>.932</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 xml:space="preserve">Cleanliness at ablution area is good </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r w:rsidRPr="00585612">
              <w:rPr>
                <w:b w:val="0"/>
              </w:rPr>
              <w:t>.926</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There is separation between an ablution area to prayer hall</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r w:rsidRPr="00585612">
              <w:rPr>
                <w:b w:val="0"/>
              </w:rPr>
              <w:t>.926</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Prayer hall is spacious to avoid overcrowding</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r w:rsidRPr="00585612">
              <w:rPr>
                <w:b w:val="0"/>
              </w:rPr>
              <w:t>.926</w:t>
            </w: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 xml:space="preserve">GROUP 3: MAINTENANCE </w:t>
            </w:r>
          </w:p>
          <w:p w:rsidR="00C74A41" w:rsidRPr="00585612" w:rsidRDefault="00C74A41" w:rsidP="00585612">
            <w:pPr>
              <w:pStyle w:val="Heading1"/>
              <w:jc w:val="both"/>
              <w:rPr>
                <w:b w:val="0"/>
              </w:rPr>
            </w:pPr>
            <w:r w:rsidRPr="00585612">
              <w:rPr>
                <w:b w:val="0"/>
              </w:rPr>
              <w:t xml:space="preserve">Direction of kiblah is not facing </w:t>
            </w:r>
            <w:r w:rsidRPr="00585612">
              <w:rPr>
                <w:b w:val="0"/>
              </w:rPr>
              <w:lastRenderedPageBreak/>
              <w:t>the toilet</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p w:rsidR="00C74A41" w:rsidRPr="00585612" w:rsidRDefault="00C74A41" w:rsidP="00585612">
            <w:pPr>
              <w:pStyle w:val="Heading1"/>
              <w:jc w:val="both"/>
              <w:rPr>
                <w:b w:val="0"/>
              </w:rPr>
            </w:pPr>
            <w:r w:rsidRPr="00585612">
              <w:rPr>
                <w:b w:val="0"/>
              </w:rPr>
              <w:t>.936</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lastRenderedPageBreak/>
              <w:t>Floor finishes at prayer room is comfortable, safe and practical</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.936</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Location of the prayer room is ideal</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.930</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It is safe in this prayer room</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.930</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The lamp / fan / air conditioner are adequate</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.930</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 xml:space="preserve">Odour in this prayer room is acceptable </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.908</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Space arrangement for veil is appropriate and ergonomic</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.581</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Floor finishes at ablution area is comfortable, safe and practical</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r w:rsidRPr="00585612">
              <w:rPr>
                <w:b w:val="0"/>
              </w:rPr>
              <w:t>.571</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GROUP 4: WATER AND ERGONOMIC ASPECT</w:t>
            </w:r>
          </w:p>
          <w:p w:rsidR="00C74A41" w:rsidRPr="00585612" w:rsidRDefault="00C74A41" w:rsidP="00585612">
            <w:pPr>
              <w:pStyle w:val="Heading1"/>
              <w:jc w:val="both"/>
              <w:rPr>
                <w:b w:val="0"/>
              </w:rPr>
            </w:pPr>
            <w:r w:rsidRPr="00585612">
              <w:rPr>
                <w:b w:val="0"/>
              </w:rPr>
              <w:t>Drainage system at ablution area is effective</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p w:rsidR="00C74A41" w:rsidRPr="00585612" w:rsidRDefault="00C74A41" w:rsidP="00585612">
            <w:pPr>
              <w:pStyle w:val="Heading1"/>
              <w:jc w:val="both"/>
              <w:rPr>
                <w:b w:val="0"/>
              </w:rPr>
            </w:pPr>
          </w:p>
          <w:p w:rsidR="00C74A41" w:rsidRPr="00585612" w:rsidRDefault="00C74A41" w:rsidP="00585612">
            <w:pPr>
              <w:pStyle w:val="Heading1"/>
              <w:jc w:val="both"/>
              <w:rPr>
                <w:b w:val="0"/>
              </w:rPr>
            </w:pPr>
            <w:r w:rsidRPr="00585612">
              <w:rPr>
                <w:b w:val="0"/>
              </w:rPr>
              <w:t>.802</w:t>
            </w: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 xml:space="preserve">There is seat for elderly and disable to take </w:t>
            </w:r>
            <w:proofErr w:type="spellStart"/>
            <w:r w:rsidRPr="00585612">
              <w:rPr>
                <w:b w:val="0"/>
              </w:rPr>
              <w:t>wudu</w:t>
            </w:r>
            <w:proofErr w:type="spellEnd"/>
            <w:r w:rsidRPr="00585612">
              <w:rPr>
                <w:b w:val="0"/>
              </w:rPr>
              <w:t>'</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r w:rsidRPr="00585612">
              <w:rPr>
                <w:b w:val="0"/>
              </w:rPr>
              <w:t>-.767</w:t>
            </w: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 xml:space="preserve">Position of entrance door is appropriate to protect </w:t>
            </w:r>
            <w:proofErr w:type="spellStart"/>
            <w:r w:rsidRPr="00585612">
              <w:rPr>
                <w:b w:val="0"/>
              </w:rPr>
              <w:t>aurat</w:t>
            </w:r>
            <w:proofErr w:type="spellEnd"/>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r w:rsidRPr="00585612">
              <w:rPr>
                <w:b w:val="0"/>
              </w:rPr>
              <w:t>.600</w:t>
            </w: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Splash barrier is sufficient to prevent users getting wet</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r w:rsidRPr="00585612">
              <w:rPr>
                <w:b w:val="0"/>
              </w:rPr>
              <w:t>.573</w:t>
            </w: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 xml:space="preserve">GROUP 5: SECURITY </w:t>
            </w:r>
          </w:p>
          <w:p w:rsidR="00C74A41" w:rsidRPr="00585612" w:rsidRDefault="00C74A41" w:rsidP="00585612">
            <w:pPr>
              <w:pStyle w:val="Heading1"/>
              <w:jc w:val="both"/>
              <w:rPr>
                <w:b w:val="0"/>
              </w:rPr>
            </w:pPr>
            <w:r w:rsidRPr="00585612">
              <w:rPr>
                <w:b w:val="0"/>
              </w:rPr>
              <w:t xml:space="preserve">Sufficient CCTV located along the access route to the prayer room </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p w:rsidR="00C74A41" w:rsidRPr="00585612" w:rsidRDefault="00C74A41" w:rsidP="00585612">
            <w:pPr>
              <w:pStyle w:val="Heading1"/>
              <w:jc w:val="both"/>
              <w:rPr>
                <w:b w:val="0"/>
              </w:rPr>
            </w:pPr>
            <w:r w:rsidRPr="00585612">
              <w:rPr>
                <w:b w:val="0"/>
              </w:rPr>
              <w:t>.961</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D9D9D9"/>
          </w:tcPr>
          <w:p w:rsidR="00C74A41" w:rsidRPr="00585612" w:rsidRDefault="00C74A41" w:rsidP="00585612">
            <w:pPr>
              <w:pStyle w:val="Heading1"/>
              <w:jc w:val="both"/>
              <w:rPr>
                <w:b w:val="0"/>
              </w:rPr>
            </w:pPr>
            <w:r w:rsidRPr="00585612">
              <w:rPr>
                <w:b w:val="0"/>
              </w:rPr>
              <w:t>Route to prayer area for disable is available</w:t>
            </w: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500"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r w:rsidRPr="00585612">
              <w:rPr>
                <w:b w:val="0"/>
              </w:rPr>
              <w:t>.961</w:t>
            </w:r>
          </w:p>
        </w:tc>
        <w:tc>
          <w:tcPr>
            <w:tcW w:w="442" w:type="pct"/>
            <w:shd w:val="clear" w:color="auto" w:fill="D9D9D9"/>
          </w:tcPr>
          <w:p w:rsidR="00C74A41" w:rsidRPr="00585612" w:rsidRDefault="00C74A41" w:rsidP="00585612">
            <w:pPr>
              <w:pStyle w:val="Heading1"/>
              <w:jc w:val="both"/>
              <w:rPr>
                <w:b w:val="0"/>
              </w:rPr>
            </w:pPr>
          </w:p>
        </w:tc>
        <w:tc>
          <w:tcPr>
            <w:tcW w:w="442" w:type="pct"/>
            <w:shd w:val="clear" w:color="auto" w:fill="D9D9D9"/>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There is handrail at the ablution area*</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r w:rsidRPr="00585612">
              <w:rPr>
                <w:b w:val="0"/>
              </w:rPr>
              <w:t>.780</w:t>
            </w: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shd w:val="clear" w:color="auto" w:fill="auto"/>
          </w:tcPr>
          <w:p w:rsidR="00C74A41" w:rsidRPr="00585612" w:rsidRDefault="00C74A41" w:rsidP="00585612">
            <w:pPr>
              <w:pStyle w:val="Heading1"/>
              <w:jc w:val="both"/>
              <w:rPr>
                <w:b w:val="0"/>
              </w:rPr>
            </w:pPr>
            <w:r w:rsidRPr="00585612">
              <w:rPr>
                <w:b w:val="0"/>
              </w:rPr>
              <w:t>Water tap height is appropriate*</w:t>
            </w: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500"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p>
        </w:tc>
        <w:tc>
          <w:tcPr>
            <w:tcW w:w="442" w:type="pct"/>
            <w:shd w:val="clear" w:color="auto" w:fill="auto"/>
          </w:tcPr>
          <w:p w:rsidR="00C74A41" w:rsidRPr="00585612" w:rsidRDefault="00C74A41" w:rsidP="00585612">
            <w:pPr>
              <w:pStyle w:val="Heading1"/>
              <w:jc w:val="both"/>
              <w:rPr>
                <w:b w:val="0"/>
              </w:rPr>
            </w:pPr>
            <w:r w:rsidRPr="00585612">
              <w:rPr>
                <w:b w:val="0"/>
              </w:rPr>
              <w:t>.626</w:t>
            </w:r>
          </w:p>
        </w:tc>
        <w:tc>
          <w:tcPr>
            <w:tcW w:w="442" w:type="pct"/>
            <w:shd w:val="clear" w:color="auto" w:fill="auto"/>
          </w:tcPr>
          <w:p w:rsidR="00C74A41" w:rsidRPr="00585612" w:rsidRDefault="00C74A41" w:rsidP="00585612">
            <w:pPr>
              <w:pStyle w:val="Heading1"/>
              <w:jc w:val="both"/>
              <w:rPr>
                <w:b w:val="0"/>
              </w:rPr>
            </w:pPr>
          </w:p>
        </w:tc>
      </w:tr>
      <w:tr w:rsidR="00C74A41" w:rsidRPr="00585612" w:rsidTr="00585612">
        <w:trPr>
          <w:trHeight w:val="288"/>
        </w:trPr>
        <w:tc>
          <w:tcPr>
            <w:tcW w:w="1732" w:type="pct"/>
            <w:tcBorders>
              <w:bottom w:val="single" w:sz="4" w:space="0" w:color="auto"/>
            </w:tcBorders>
            <w:shd w:val="clear" w:color="auto" w:fill="D9D9D9"/>
          </w:tcPr>
          <w:p w:rsidR="00C74A41" w:rsidRPr="00585612" w:rsidRDefault="00C74A41" w:rsidP="00585612">
            <w:pPr>
              <w:pStyle w:val="Heading1"/>
              <w:jc w:val="both"/>
              <w:rPr>
                <w:b w:val="0"/>
              </w:rPr>
            </w:pPr>
            <w:r w:rsidRPr="00585612">
              <w:rPr>
                <w:b w:val="0"/>
              </w:rPr>
              <w:t>You feel musculoskeletal problem during ablution such as back pain or hit on feet**</w:t>
            </w:r>
          </w:p>
        </w:tc>
        <w:tc>
          <w:tcPr>
            <w:tcW w:w="500" w:type="pct"/>
            <w:tcBorders>
              <w:bottom w:val="single" w:sz="4" w:space="0" w:color="auto"/>
            </w:tcBorders>
            <w:shd w:val="clear" w:color="auto" w:fill="D9D9D9"/>
          </w:tcPr>
          <w:p w:rsidR="00C74A41" w:rsidRPr="00585612" w:rsidRDefault="00C74A41" w:rsidP="00585612">
            <w:pPr>
              <w:pStyle w:val="Heading1"/>
              <w:jc w:val="both"/>
              <w:rPr>
                <w:b w:val="0"/>
              </w:rPr>
            </w:pPr>
          </w:p>
        </w:tc>
        <w:tc>
          <w:tcPr>
            <w:tcW w:w="500" w:type="pct"/>
            <w:tcBorders>
              <w:bottom w:val="single" w:sz="4" w:space="0" w:color="auto"/>
            </w:tcBorders>
            <w:shd w:val="clear" w:color="auto" w:fill="D9D9D9"/>
          </w:tcPr>
          <w:p w:rsidR="00C74A41" w:rsidRPr="00585612" w:rsidRDefault="00C74A41" w:rsidP="00585612">
            <w:pPr>
              <w:pStyle w:val="Heading1"/>
              <w:jc w:val="both"/>
              <w:rPr>
                <w:b w:val="0"/>
              </w:rPr>
            </w:pPr>
          </w:p>
        </w:tc>
        <w:tc>
          <w:tcPr>
            <w:tcW w:w="500" w:type="pct"/>
            <w:tcBorders>
              <w:bottom w:val="single" w:sz="4" w:space="0" w:color="auto"/>
            </w:tcBorders>
            <w:shd w:val="clear" w:color="auto" w:fill="D9D9D9"/>
          </w:tcPr>
          <w:p w:rsidR="00C74A41" w:rsidRPr="00585612" w:rsidRDefault="00C74A41" w:rsidP="00585612">
            <w:pPr>
              <w:pStyle w:val="Heading1"/>
              <w:jc w:val="both"/>
              <w:rPr>
                <w:b w:val="0"/>
              </w:rPr>
            </w:pPr>
          </w:p>
        </w:tc>
        <w:tc>
          <w:tcPr>
            <w:tcW w:w="442" w:type="pct"/>
            <w:tcBorders>
              <w:bottom w:val="single" w:sz="4" w:space="0" w:color="auto"/>
            </w:tcBorders>
            <w:shd w:val="clear" w:color="auto" w:fill="D9D9D9"/>
          </w:tcPr>
          <w:p w:rsidR="00C74A41" w:rsidRPr="00585612" w:rsidRDefault="00C74A41" w:rsidP="00585612">
            <w:pPr>
              <w:pStyle w:val="Heading1"/>
              <w:jc w:val="both"/>
              <w:rPr>
                <w:b w:val="0"/>
              </w:rPr>
            </w:pPr>
          </w:p>
        </w:tc>
        <w:tc>
          <w:tcPr>
            <w:tcW w:w="442" w:type="pct"/>
            <w:tcBorders>
              <w:bottom w:val="single" w:sz="4" w:space="0" w:color="auto"/>
            </w:tcBorders>
            <w:shd w:val="clear" w:color="auto" w:fill="D9D9D9"/>
          </w:tcPr>
          <w:p w:rsidR="00C74A41" w:rsidRPr="00585612" w:rsidRDefault="00C74A41" w:rsidP="00585612">
            <w:pPr>
              <w:pStyle w:val="Heading1"/>
              <w:jc w:val="both"/>
              <w:rPr>
                <w:b w:val="0"/>
              </w:rPr>
            </w:pPr>
          </w:p>
        </w:tc>
        <w:tc>
          <w:tcPr>
            <w:tcW w:w="442" w:type="pct"/>
            <w:tcBorders>
              <w:bottom w:val="single" w:sz="4" w:space="0" w:color="auto"/>
            </w:tcBorders>
            <w:shd w:val="clear" w:color="auto" w:fill="D9D9D9"/>
          </w:tcPr>
          <w:p w:rsidR="00C74A41" w:rsidRPr="00585612" w:rsidRDefault="00C74A41" w:rsidP="00585612">
            <w:pPr>
              <w:pStyle w:val="Heading1"/>
              <w:jc w:val="both"/>
              <w:rPr>
                <w:b w:val="0"/>
              </w:rPr>
            </w:pPr>
          </w:p>
        </w:tc>
        <w:tc>
          <w:tcPr>
            <w:tcW w:w="442" w:type="pct"/>
            <w:tcBorders>
              <w:bottom w:val="single" w:sz="4" w:space="0" w:color="auto"/>
            </w:tcBorders>
            <w:shd w:val="clear" w:color="auto" w:fill="D9D9D9"/>
          </w:tcPr>
          <w:p w:rsidR="00C74A41" w:rsidRPr="00585612" w:rsidRDefault="00C74A41" w:rsidP="00585612">
            <w:pPr>
              <w:pStyle w:val="Heading1"/>
              <w:jc w:val="both"/>
              <w:rPr>
                <w:b w:val="0"/>
              </w:rPr>
            </w:pPr>
            <w:r w:rsidRPr="00585612">
              <w:rPr>
                <w:b w:val="0"/>
              </w:rPr>
              <w:t>.803</w:t>
            </w:r>
          </w:p>
        </w:tc>
      </w:tr>
      <w:tr w:rsidR="00C74A41" w:rsidRPr="00585612" w:rsidTr="00585612">
        <w:trPr>
          <w:trHeight w:val="288"/>
        </w:trPr>
        <w:tc>
          <w:tcPr>
            <w:tcW w:w="173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proofErr w:type="spellStart"/>
            <w:r w:rsidRPr="00585612">
              <w:rPr>
                <w:b w:val="0"/>
              </w:rPr>
              <w:t>Eigenvalue</w:t>
            </w:r>
            <w:proofErr w:type="spellEnd"/>
          </w:p>
          <w:p w:rsidR="00C74A41" w:rsidRPr="00585612" w:rsidRDefault="00C74A41" w:rsidP="00585612">
            <w:pPr>
              <w:pStyle w:val="Heading1"/>
              <w:jc w:val="both"/>
              <w:rPr>
                <w:b w:val="0"/>
              </w:rPr>
            </w:pPr>
            <w:r w:rsidRPr="00585612">
              <w:rPr>
                <w:b w:val="0"/>
              </w:rPr>
              <w:t>(Explained by variance, %)</w:t>
            </w:r>
          </w:p>
        </w:tc>
        <w:tc>
          <w:tcPr>
            <w:tcW w:w="500"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12.503</w:t>
            </w:r>
          </w:p>
          <w:p w:rsidR="00C74A41" w:rsidRPr="00585612" w:rsidRDefault="00C74A41" w:rsidP="00585612">
            <w:pPr>
              <w:pStyle w:val="Heading1"/>
              <w:jc w:val="both"/>
              <w:rPr>
                <w:b w:val="0"/>
              </w:rPr>
            </w:pPr>
            <w:r w:rsidRPr="00585612">
              <w:rPr>
                <w:b w:val="0"/>
              </w:rPr>
              <w:t>(29.75)</w:t>
            </w:r>
          </w:p>
        </w:tc>
        <w:tc>
          <w:tcPr>
            <w:tcW w:w="500"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10.251</w:t>
            </w:r>
          </w:p>
          <w:p w:rsidR="00C74A41" w:rsidRPr="00585612" w:rsidRDefault="00C74A41" w:rsidP="00585612">
            <w:pPr>
              <w:pStyle w:val="Heading1"/>
              <w:jc w:val="both"/>
              <w:rPr>
                <w:b w:val="0"/>
              </w:rPr>
            </w:pPr>
            <w:r w:rsidRPr="00585612">
              <w:rPr>
                <w:b w:val="0"/>
              </w:rPr>
              <w:t>(21.01)</w:t>
            </w:r>
          </w:p>
        </w:tc>
        <w:tc>
          <w:tcPr>
            <w:tcW w:w="500"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3.433</w:t>
            </w:r>
          </w:p>
          <w:p w:rsidR="00C74A41" w:rsidRPr="00585612" w:rsidRDefault="00C74A41" w:rsidP="00585612">
            <w:pPr>
              <w:pStyle w:val="Heading1"/>
              <w:jc w:val="both"/>
              <w:rPr>
                <w:b w:val="0"/>
              </w:rPr>
            </w:pPr>
            <w:r w:rsidRPr="00585612">
              <w:rPr>
                <w:b w:val="0"/>
              </w:rPr>
              <w:t>(18.97)</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2.287</w:t>
            </w:r>
          </w:p>
          <w:p w:rsidR="00C74A41" w:rsidRPr="00585612" w:rsidRDefault="00C74A41" w:rsidP="00585612">
            <w:pPr>
              <w:pStyle w:val="Heading1"/>
              <w:jc w:val="both"/>
              <w:rPr>
                <w:b w:val="0"/>
              </w:rPr>
            </w:pPr>
            <w:r w:rsidRPr="00585612">
              <w:rPr>
                <w:b w:val="0"/>
              </w:rPr>
              <w:t>(7.15)</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2.117</w:t>
            </w:r>
          </w:p>
          <w:p w:rsidR="00C74A41" w:rsidRPr="00585612" w:rsidRDefault="00C74A41" w:rsidP="00585612">
            <w:pPr>
              <w:pStyle w:val="Heading1"/>
              <w:jc w:val="both"/>
              <w:rPr>
                <w:b w:val="0"/>
              </w:rPr>
            </w:pPr>
            <w:r w:rsidRPr="00585612">
              <w:rPr>
                <w:b w:val="0"/>
              </w:rPr>
              <w:t>(6.75)</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1.382</w:t>
            </w:r>
          </w:p>
          <w:p w:rsidR="00C74A41" w:rsidRPr="00585612" w:rsidRDefault="00C74A41" w:rsidP="00585612">
            <w:pPr>
              <w:pStyle w:val="Heading1"/>
              <w:jc w:val="both"/>
              <w:rPr>
                <w:b w:val="0"/>
              </w:rPr>
            </w:pPr>
            <w:r w:rsidRPr="00585612">
              <w:rPr>
                <w:b w:val="0"/>
              </w:rPr>
              <w:t>(4.09)</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1.047</w:t>
            </w:r>
          </w:p>
          <w:p w:rsidR="00C74A41" w:rsidRPr="00585612" w:rsidRDefault="00C74A41" w:rsidP="00585612">
            <w:pPr>
              <w:pStyle w:val="Heading1"/>
              <w:jc w:val="both"/>
              <w:rPr>
                <w:b w:val="0"/>
              </w:rPr>
            </w:pPr>
            <w:r w:rsidRPr="00585612">
              <w:rPr>
                <w:b w:val="0"/>
              </w:rPr>
              <w:t>(3.99)</w:t>
            </w:r>
          </w:p>
        </w:tc>
      </w:tr>
      <w:tr w:rsidR="00C74A41" w:rsidRPr="00585612" w:rsidTr="00585612">
        <w:trPr>
          <w:trHeight w:val="288"/>
        </w:trPr>
        <w:tc>
          <w:tcPr>
            <w:tcW w:w="173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Reliability</w:t>
            </w:r>
          </w:p>
          <w:p w:rsidR="00C74A41" w:rsidRPr="00585612" w:rsidRDefault="00C74A41" w:rsidP="00585612">
            <w:pPr>
              <w:pStyle w:val="Heading1"/>
              <w:jc w:val="both"/>
              <w:rPr>
                <w:b w:val="0"/>
              </w:rPr>
            </w:pPr>
            <w:r w:rsidRPr="00585612">
              <w:rPr>
                <w:b w:val="0"/>
              </w:rPr>
              <w:t>(</w:t>
            </w:r>
            <w:proofErr w:type="spellStart"/>
            <w:r w:rsidRPr="00585612">
              <w:rPr>
                <w:b w:val="0"/>
              </w:rPr>
              <w:t>Cronbach</w:t>
            </w:r>
            <w:proofErr w:type="spellEnd"/>
            <w:r w:rsidRPr="00585612">
              <w:rPr>
                <w:b w:val="0"/>
              </w:rPr>
              <w:t xml:space="preserve">  Alpha, α)</w:t>
            </w:r>
          </w:p>
        </w:tc>
        <w:tc>
          <w:tcPr>
            <w:tcW w:w="500"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.920</w:t>
            </w:r>
          </w:p>
        </w:tc>
        <w:tc>
          <w:tcPr>
            <w:tcW w:w="500"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.960</w:t>
            </w:r>
          </w:p>
        </w:tc>
        <w:tc>
          <w:tcPr>
            <w:tcW w:w="500"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.922</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.698</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.805</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.069</w:t>
            </w:r>
          </w:p>
        </w:tc>
        <w:tc>
          <w:tcPr>
            <w:tcW w:w="442" w:type="pct"/>
            <w:tcBorders>
              <w:top w:val="single" w:sz="4" w:space="0" w:color="auto"/>
              <w:bottom w:val="single" w:sz="4" w:space="0" w:color="auto"/>
            </w:tcBorders>
            <w:shd w:val="clear" w:color="auto" w:fill="FFFFFF"/>
          </w:tcPr>
          <w:p w:rsidR="00C74A41" w:rsidRPr="00585612" w:rsidRDefault="00C74A41" w:rsidP="00585612">
            <w:pPr>
              <w:pStyle w:val="Heading1"/>
              <w:jc w:val="both"/>
              <w:rPr>
                <w:b w:val="0"/>
              </w:rPr>
            </w:pPr>
            <w:r w:rsidRPr="00585612">
              <w:rPr>
                <w:b w:val="0"/>
              </w:rPr>
              <w:t>-</w:t>
            </w:r>
          </w:p>
        </w:tc>
      </w:tr>
    </w:tbl>
    <w:p w:rsidR="00C74A41" w:rsidRPr="00585612" w:rsidRDefault="00C74A41" w:rsidP="00585612">
      <w:pPr>
        <w:pStyle w:val="Heading1"/>
        <w:numPr>
          <w:ilvl w:val="0"/>
          <w:numId w:val="2"/>
        </w:numPr>
        <w:jc w:val="center"/>
        <w:rPr>
          <w:b w:val="0"/>
          <w:lang w:val="en-US"/>
        </w:rPr>
      </w:pPr>
      <w:r w:rsidRPr="00585612">
        <w:rPr>
          <w:b w:val="0"/>
          <w:lang w:val="en-US"/>
        </w:rPr>
        <w:t xml:space="preserve">Factor is deleted due to low </w:t>
      </w:r>
      <w:proofErr w:type="spellStart"/>
      <w:r w:rsidRPr="00585612">
        <w:rPr>
          <w:b w:val="0"/>
          <w:lang w:val="en-US"/>
        </w:rPr>
        <w:t>Cronbach</w:t>
      </w:r>
      <w:proofErr w:type="spellEnd"/>
      <w:r w:rsidRPr="00585612">
        <w:rPr>
          <w:b w:val="0"/>
          <w:lang w:val="en-US"/>
        </w:rPr>
        <w:t xml:space="preserve"> Alpha</w:t>
      </w:r>
    </w:p>
    <w:p w:rsidR="00C74A41" w:rsidRPr="00585612" w:rsidRDefault="00C74A41" w:rsidP="00585612">
      <w:pPr>
        <w:pStyle w:val="Heading1"/>
        <w:jc w:val="center"/>
        <w:rPr>
          <w:b w:val="0"/>
          <w:lang w:val="en-US"/>
        </w:rPr>
      </w:pPr>
      <w:r w:rsidRPr="00585612">
        <w:rPr>
          <w:b w:val="0"/>
          <w:lang w:val="en-US"/>
        </w:rPr>
        <w:t>** Factor is deleted due to single-item criteria</w:t>
      </w:r>
    </w:p>
    <w:p w:rsidR="00C74A41" w:rsidRPr="00585612" w:rsidRDefault="00C74A41" w:rsidP="00585612">
      <w:pPr>
        <w:pStyle w:val="Heading1"/>
        <w:jc w:val="both"/>
        <w:rPr>
          <w:b w:val="0"/>
          <w:lang w:val="en-US"/>
        </w:rPr>
      </w:pPr>
    </w:p>
    <w:p w:rsidR="00C74A41" w:rsidRPr="00585612" w:rsidRDefault="00C74A41" w:rsidP="00585612">
      <w:pPr>
        <w:pStyle w:val="Heading1"/>
        <w:jc w:val="both"/>
        <w:rPr>
          <w:b w:val="0"/>
          <w:lang w:val="en-US"/>
        </w:rPr>
      </w:pPr>
    </w:p>
    <w:p w:rsidR="00C74A41" w:rsidRPr="00585612" w:rsidRDefault="00C74A41" w:rsidP="00585612">
      <w:pPr>
        <w:pStyle w:val="Heading1"/>
        <w:jc w:val="both"/>
        <w:rPr>
          <w:i/>
          <w:lang w:val="en-US"/>
        </w:rPr>
      </w:pPr>
      <w:r w:rsidRPr="00585612">
        <w:rPr>
          <w:i/>
          <w:lang w:val="en-US"/>
        </w:rPr>
        <w:t>Triangulation analyses</w:t>
      </w:r>
    </w:p>
    <w:p w:rsidR="00C74A41" w:rsidRPr="00585612" w:rsidRDefault="00C74A41" w:rsidP="00585612">
      <w:pPr>
        <w:pStyle w:val="Heading1"/>
        <w:jc w:val="both"/>
        <w:rPr>
          <w:b w:val="0"/>
          <w:lang w:val="en-US"/>
        </w:rPr>
      </w:pPr>
      <w:r w:rsidRPr="00585612">
        <w:rPr>
          <w:b w:val="0"/>
          <w:lang w:val="en-US"/>
        </w:rPr>
        <w:t xml:space="preserve">The data triangulation is to highlight the potential problems based on the suggested factors which later being addressed from the multiple sources of data collection but within the same issues and problems </w:t>
      </w:r>
      <w:r w:rsidR="00EE268E" w:rsidRPr="00585612">
        <w:rPr>
          <w:b w:val="0"/>
          <w:lang w:val="en-US"/>
        </w:rPr>
        <w:fldChar w:fldCharType="begin" w:fldLock="1"/>
      </w:r>
      <w:r w:rsidRPr="00585612">
        <w:rPr>
          <w:b w:val="0"/>
          <w:lang w:val="en-US"/>
        </w:rPr>
        <w:instrText>ADDIN CSL_CITATION { "citationItems" : [ { "id" : "ITEM-1", "itemData" : { "author" : [ { "dropping-particle" : "", "family" : "Yin", "given" : "Robert K.", "non-dropping-particle" : "", "parse-names" : false, "suffix" : "" } ], "edition" : "Fourth Edi", "id" : "ITEM-1", "issued" : { "date-parts" : [ [ "2009" ] ] }, "publisher" : "SAGE Publication", "title" : "Case study research: Design and methods", "type" : "book" }, "uris" : [ "http://www.mendeley.com/documents/?uuid=f7befff0-4aa6-4144-891e-bf78bc6f39dc" ] } ], "mendeley" : { "formattedCitation" : "(Yin 2009)", "plainTextFormattedCitation" : "(Yin 2009)", "previouslyFormattedCitation" : "(Yin 2009)" }, "properties" : { "noteIndex" : 7 }, "schema" : "https://github.com/citation-style-language/schema/raw/master/csl-citation.json" }</w:instrText>
      </w:r>
      <w:r w:rsidR="00EE268E" w:rsidRPr="00585612">
        <w:rPr>
          <w:b w:val="0"/>
          <w:lang w:val="en-US"/>
        </w:rPr>
        <w:fldChar w:fldCharType="separate"/>
      </w:r>
      <w:r w:rsidRPr="00585612">
        <w:rPr>
          <w:b w:val="0"/>
          <w:lang w:val="en-US"/>
        </w:rPr>
        <w:t>(Yin 2009)</w:t>
      </w:r>
      <w:r w:rsidR="00EE268E" w:rsidRPr="00585612">
        <w:rPr>
          <w:b w:val="0"/>
          <w:lang w:val="en-US"/>
        </w:rPr>
        <w:fldChar w:fldCharType="end"/>
      </w:r>
      <w:r w:rsidRPr="00585612">
        <w:rPr>
          <w:b w:val="0"/>
          <w:lang w:val="en-US"/>
        </w:rPr>
        <w:t xml:space="preserve"> that can be corroborated </w:t>
      </w:r>
      <w:r w:rsidR="00EE268E" w:rsidRPr="00585612">
        <w:rPr>
          <w:b w:val="0"/>
          <w:lang w:val="en-US"/>
        </w:rPr>
        <w:fldChar w:fldCharType="begin" w:fldLock="1"/>
      </w:r>
      <w:r w:rsidRPr="00585612">
        <w:rPr>
          <w:b w:val="0"/>
          <w:lang w:val="en-US"/>
        </w:rPr>
        <w:instrText>ADDIN CSL_CITATION { "citationItems" : [ { "id" : "ITEM-1", "itemData" : { "author" : [ { "dropping-particle" : "", "family" : "Creswell", "given" : "John W.", "non-dropping-particle" : "", "parse-names" : false, "suffix" : "" }, { "dropping-particle" : "", "family" : "Clark", "given" : "Vicki L. Plano", "non-dropping-particle" : "", "parse-names" : false, "suffix" : "" } ], "edition" : "Second Edi", "id" : "ITEM-1", "issued" : { "date-parts" : [ [ "2011" ] ] }, "publisher" : "SAGE Publication", "title" : "Designing and conducting mixed methods research", "type" : "book" }, "uris" : [ "http://www.mendeley.com/documents/?uuid=0d3897b7-e5ac-4a12-8a71-e4e41194e379" ] } ], "mendeley" : { "formattedCitation" : "(Creswell &amp; Clark 2011)", "plainTextFormattedCitation" : "(Creswell &amp; Clark 2011)", "previouslyFormattedCitation" : "(Creswell &amp; Clark 2011)" }, "properties" : { "noteIndex" : 7 }, "schema" : "https://github.com/citation-style-language/schema/raw/master/csl-citation.json" }</w:instrText>
      </w:r>
      <w:r w:rsidR="00EE268E" w:rsidRPr="00585612">
        <w:rPr>
          <w:b w:val="0"/>
          <w:lang w:val="en-US"/>
        </w:rPr>
        <w:fldChar w:fldCharType="separate"/>
      </w:r>
      <w:r w:rsidRPr="00585612">
        <w:rPr>
          <w:b w:val="0"/>
          <w:lang w:val="en-US"/>
        </w:rPr>
        <w:t>(Creswell &amp; Clark 2011)</w:t>
      </w:r>
      <w:r w:rsidR="00EE268E" w:rsidRPr="00585612">
        <w:rPr>
          <w:b w:val="0"/>
          <w:lang w:val="en-US"/>
        </w:rPr>
        <w:fldChar w:fldCharType="end"/>
      </w:r>
      <w:r w:rsidRPr="00585612">
        <w:rPr>
          <w:b w:val="0"/>
          <w:lang w:val="en-US"/>
        </w:rPr>
        <w:t xml:space="preserve">. In this research, quantitative data from the factor analyses and qualitative data from the interview sessions and </w:t>
      </w:r>
      <w:proofErr w:type="spellStart"/>
      <w:r w:rsidRPr="00585612">
        <w:rPr>
          <w:b w:val="0"/>
          <w:lang w:val="en-US"/>
        </w:rPr>
        <w:t>musholla</w:t>
      </w:r>
      <w:proofErr w:type="spellEnd"/>
      <w:r w:rsidRPr="00585612">
        <w:rPr>
          <w:b w:val="0"/>
          <w:lang w:val="en-US"/>
        </w:rPr>
        <w:t xml:space="preserve"> observations were triangulated.   </w:t>
      </w:r>
    </w:p>
    <w:tbl>
      <w:tblPr>
        <w:tblW w:w="4868" w:type="pct"/>
        <w:tblInd w:w="250" w:type="dxa"/>
        <w:tblLook w:val="04A0"/>
      </w:tblPr>
      <w:tblGrid>
        <w:gridCol w:w="2729"/>
        <w:gridCol w:w="2864"/>
        <w:gridCol w:w="3652"/>
      </w:tblGrid>
      <w:tr w:rsidR="00C74A41" w:rsidRPr="00585612" w:rsidTr="00585612">
        <w:tc>
          <w:tcPr>
            <w:tcW w:w="1476"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Factors Analyses</w:t>
            </w:r>
          </w:p>
          <w:p w:rsidR="00C74A41" w:rsidRPr="00585612" w:rsidRDefault="00C74A41" w:rsidP="00585612">
            <w:pPr>
              <w:pStyle w:val="Heading1"/>
              <w:jc w:val="both"/>
              <w:rPr>
                <w:b w:val="0"/>
              </w:rPr>
            </w:pPr>
            <w:r w:rsidRPr="00585612">
              <w:rPr>
                <w:b w:val="0"/>
              </w:rPr>
              <w:t>(N=150)</w:t>
            </w:r>
          </w:p>
        </w:tc>
        <w:tc>
          <w:tcPr>
            <w:tcW w:w="1549"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Guideline and standard</w:t>
            </w:r>
          </w:p>
          <w:p w:rsidR="00C74A41" w:rsidRPr="00585612" w:rsidRDefault="00C74A41" w:rsidP="00585612">
            <w:pPr>
              <w:pStyle w:val="Heading1"/>
              <w:jc w:val="both"/>
              <w:rPr>
                <w:b w:val="0"/>
              </w:rPr>
            </w:pPr>
            <w:r w:rsidRPr="00585612">
              <w:rPr>
                <w:b w:val="0"/>
              </w:rPr>
              <w:t>(N=2)</w:t>
            </w:r>
          </w:p>
        </w:tc>
        <w:tc>
          <w:tcPr>
            <w:tcW w:w="1975" w:type="pct"/>
            <w:tcBorders>
              <w:top w:val="single" w:sz="4" w:space="0" w:color="auto"/>
              <w:bottom w:val="single" w:sz="4" w:space="0" w:color="auto"/>
            </w:tcBorders>
            <w:shd w:val="clear" w:color="auto" w:fill="auto"/>
          </w:tcPr>
          <w:p w:rsidR="00C74A41" w:rsidRPr="00585612" w:rsidRDefault="00C74A41" w:rsidP="00585612">
            <w:pPr>
              <w:pStyle w:val="Heading1"/>
              <w:jc w:val="both"/>
              <w:rPr>
                <w:b w:val="0"/>
              </w:rPr>
            </w:pPr>
            <w:r w:rsidRPr="00585612">
              <w:rPr>
                <w:b w:val="0"/>
              </w:rPr>
              <w:t>Observation</w:t>
            </w:r>
          </w:p>
          <w:p w:rsidR="00C74A41" w:rsidRPr="00585612" w:rsidRDefault="00C74A41" w:rsidP="00585612">
            <w:pPr>
              <w:pStyle w:val="Heading1"/>
              <w:jc w:val="both"/>
              <w:rPr>
                <w:b w:val="0"/>
              </w:rPr>
            </w:pPr>
            <w:r w:rsidRPr="00585612">
              <w:rPr>
                <w:b w:val="0"/>
              </w:rPr>
              <w:t>(N= 2)</w:t>
            </w:r>
          </w:p>
        </w:tc>
      </w:tr>
      <w:tr w:rsidR="00C74A41" w:rsidRPr="00585612" w:rsidTr="00585612">
        <w:tc>
          <w:tcPr>
            <w:tcW w:w="1476" w:type="pct"/>
            <w:tcBorders>
              <w:top w:val="single" w:sz="4" w:space="0" w:color="auto"/>
            </w:tcBorders>
            <w:shd w:val="clear" w:color="auto" w:fill="D9D9D9"/>
          </w:tcPr>
          <w:p w:rsidR="00C74A41" w:rsidRPr="00585612" w:rsidRDefault="00C74A41" w:rsidP="00585612">
            <w:pPr>
              <w:pStyle w:val="Heading1"/>
              <w:jc w:val="both"/>
              <w:rPr>
                <w:b w:val="0"/>
              </w:rPr>
            </w:pPr>
            <w:r w:rsidRPr="00585612">
              <w:rPr>
                <w:b w:val="0"/>
              </w:rPr>
              <w:t xml:space="preserve">Size, space and disable facilities </w:t>
            </w:r>
          </w:p>
        </w:tc>
        <w:tc>
          <w:tcPr>
            <w:tcW w:w="1549" w:type="pct"/>
            <w:tcBorders>
              <w:top w:val="single" w:sz="4" w:space="0" w:color="auto"/>
            </w:tcBorders>
            <w:shd w:val="clear" w:color="auto" w:fill="D9D9D9"/>
          </w:tcPr>
          <w:p w:rsidR="00C74A41" w:rsidRPr="00585612" w:rsidRDefault="00C74A41" w:rsidP="00585612">
            <w:pPr>
              <w:pStyle w:val="Heading1"/>
              <w:jc w:val="both"/>
              <w:rPr>
                <w:b w:val="0"/>
              </w:rPr>
            </w:pPr>
            <w:r w:rsidRPr="00585612">
              <w:rPr>
                <w:b w:val="0"/>
              </w:rPr>
              <w:t xml:space="preserve">In the guideline, minimum is 20’ x 30’. It is the initiatives of the building management to make the size bigger. No specific guideline based on size of building and occupant density. Therefore, the officer agreed that no specific guideline to address this factor. Agreed to have Universal Design Guideline. </w:t>
            </w:r>
          </w:p>
        </w:tc>
        <w:tc>
          <w:tcPr>
            <w:tcW w:w="1975" w:type="pct"/>
            <w:tcBorders>
              <w:top w:val="single" w:sz="4" w:space="0" w:color="auto"/>
            </w:tcBorders>
            <w:shd w:val="clear" w:color="auto" w:fill="D9D9D9"/>
          </w:tcPr>
          <w:p w:rsidR="00C74A41" w:rsidRPr="00585612" w:rsidRDefault="00C74A41" w:rsidP="00585612">
            <w:pPr>
              <w:pStyle w:val="Heading1"/>
              <w:jc w:val="both"/>
              <w:rPr>
                <w:b w:val="0"/>
              </w:rPr>
            </w:pPr>
            <w:r w:rsidRPr="00585612">
              <w:rPr>
                <w:b w:val="0"/>
              </w:rPr>
              <w:t xml:space="preserve">Both case studies have proper space management which separate the ‘clean zone and non-clean zone’ and ‘wet-surface and semi-wet surface’ appropriately. </w:t>
            </w:r>
          </w:p>
        </w:tc>
      </w:tr>
      <w:tr w:rsidR="00C74A41" w:rsidRPr="00585612" w:rsidTr="00585612">
        <w:tc>
          <w:tcPr>
            <w:tcW w:w="1476" w:type="pct"/>
            <w:shd w:val="clear" w:color="auto" w:fill="auto"/>
          </w:tcPr>
          <w:p w:rsidR="00C74A41" w:rsidRPr="00585612" w:rsidRDefault="00C74A41" w:rsidP="00585612">
            <w:pPr>
              <w:pStyle w:val="Heading1"/>
              <w:jc w:val="both"/>
              <w:rPr>
                <w:b w:val="0"/>
              </w:rPr>
            </w:pPr>
            <w:r w:rsidRPr="00585612">
              <w:rPr>
                <w:b w:val="0"/>
              </w:rPr>
              <w:lastRenderedPageBreak/>
              <w:t xml:space="preserve">Comfort and safety </w:t>
            </w:r>
          </w:p>
        </w:tc>
        <w:tc>
          <w:tcPr>
            <w:tcW w:w="1549" w:type="pct"/>
            <w:shd w:val="clear" w:color="auto" w:fill="auto"/>
          </w:tcPr>
          <w:p w:rsidR="00C74A41" w:rsidRPr="00585612" w:rsidRDefault="00C74A41" w:rsidP="00585612">
            <w:pPr>
              <w:pStyle w:val="Heading1"/>
              <w:jc w:val="both"/>
              <w:rPr>
                <w:b w:val="0"/>
              </w:rPr>
            </w:pPr>
            <w:r w:rsidRPr="00585612">
              <w:rPr>
                <w:b w:val="0"/>
              </w:rPr>
              <w:t xml:space="preserve">The guideline only highlights the importance of separation between male and female which give comfort among users to protect their </w:t>
            </w:r>
            <w:proofErr w:type="spellStart"/>
            <w:r w:rsidRPr="00585612">
              <w:rPr>
                <w:b w:val="0"/>
              </w:rPr>
              <w:t>aurat</w:t>
            </w:r>
            <w:proofErr w:type="spellEnd"/>
            <w:r w:rsidRPr="00585612">
              <w:rPr>
                <w:b w:val="0"/>
              </w:rPr>
              <w:t xml:space="preserve">. No specific guideline on other parameters specified for this factor. </w:t>
            </w:r>
          </w:p>
        </w:tc>
        <w:tc>
          <w:tcPr>
            <w:tcW w:w="1975" w:type="pct"/>
            <w:shd w:val="clear" w:color="auto" w:fill="auto"/>
          </w:tcPr>
          <w:p w:rsidR="00C74A41" w:rsidRPr="00585612" w:rsidRDefault="00C74A41" w:rsidP="00585612">
            <w:pPr>
              <w:pStyle w:val="Heading1"/>
              <w:jc w:val="both"/>
              <w:rPr>
                <w:b w:val="0"/>
              </w:rPr>
            </w:pPr>
            <w:r w:rsidRPr="00585612">
              <w:rPr>
                <w:b w:val="0"/>
              </w:rPr>
              <w:t xml:space="preserve">The buildings separate the wet surface, semi-wet surface and dry surface accordingly therefore no stagnant water at the ablution area. Measurements for ablution facilities were acceptable for Mall A. The ablution and praying area are hidden from the entrance therefore users feel comfort and safe.     </w:t>
            </w:r>
          </w:p>
        </w:tc>
      </w:tr>
      <w:tr w:rsidR="00C74A41" w:rsidRPr="00585612" w:rsidTr="00585612">
        <w:tc>
          <w:tcPr>
            <w:tcW w:w="1476" w:type="pct"/>
            <w:shd w:val="clear" w:color="auto" w:fill="D9D9D9"/>
          </w:tcPr>
          <w:p w:rsidR="00C74A41" w:rsidRPr="00585612" w:rsidRDefault="00C74A41" w:rsidP="00585612">
            <w:pPr>
              <w:pStyle w:val="Heading1"/>
              <w:jc w:val="both"/>
              <w:rPr>
                <w:b w:val="0"/>
              </w:rPr>
            </w:pPr>
            <w:r w:rsidRPr="00585612">
              <w:rPr>
                <w:b w:val="0"/>
              </w:rPr>
              <w:t>Maintenance</w:t>
            </w:r>
          </w:p>
          <w:p w:rsidR="00C74A41" w:rsidRPr="00585612" w:rsidRDefault="00C74A41" w:rsidP="00585612">
            <w:pPr>
              <w:pStyle w:val="Heading1"/>
              <w:jc w:val="both"/>
              <w:rPr>
                <w:b w:val="0"/>
              </w:rPr>
            </w:pPr>
          </w:p>
        </w:tc>
        <w:tc>
          <w:tcPr>
            <w:tcW w:w="1549" w:type="pct"/>
            <w:shd w:val="clear" w:color="auto" w:fill="D9D9D9"/>
            <w:vAlign w:val="center"/>
          </w:tcPr>
          <w:p w:rsidR="00C74A41" w:rsidRPr="00585612" w:rsidRDefault="00C74A41" w:rsidP="00585612">
            <w:pPr>
              <w:pStyle w:val="Heading1"/>
              <w:jc w:val="both"/>
              <w:rPr>
                <w:b w:val="0"/>
              </w:rPr>
            </w:pPr>
            <w:r w:rsidRPr="00585612">
              <w:rPr>
                <w:b w:val="0"/>
              </w:rPr>
              <w:t xml:space="preserve">Architects, designers and planners should aware on this factor upon designing the </w:t>
            </w:r>
            <w:proofErr w:type="spellStart"/>
            <w:r w:rsidRPr="00585612">
              <w:rPr>
                <w:b w:val="0"/>
              </w:rPr>
              <w:t>musholla</w:t>
            </w:r>
            <w:proofErr w:type="spellEnd"/>
            <w:r w:rsidRPr="00585612">
              <w:rPr>
                <w:b w:val="0"/>
              </w:rPr>
              <w:t xml:space="preserve">. The need for maintenance however not stated in the guideline. </w:t>
            </w:r>
          </w:p>
        </w:tc>
        <w:tc>
          <w:tcPr>
            <w:tcW w:w="1975" w:type="pct"/>
            <w:shd w:val="clear" w:color="auto" w:fill="D9D9D9"/>
          </w:tcPr>
          <w:p w:rsidR="00C74A41" w:rsidRPr="00585612" w:rsidRDefault="00C74A41" w:rsidP="00585612">
            <w:pPr>
              <w:pStyle w:val="Heading1"/>
              <w:jc w:val="both"/>
              <w:rPr>
                <w:b w:val="0"/>
              </w:rPr>
            </w:pPr>
            <w:r w:rsidRPr="00585612">
              <w:rPr>
                <w:b w:val="0"/>
              </w:rPr>
              <w:t xml:space="preserve">The </w:t>
            </w:r>
            <w:proofErr w:type="spellStart"/>
            <w:r w:rsidRPr="00585612">
              <w:rPr>
                <w:b w:val="0"/>
              </w:rPr>
              <w:t>musholla</w:t>
            </w:r>
            <w:proofErr w:type="spellEnd"/>
            <w:r w:rsidRPr="00585612">
              <w:rPr>
                <w:b w:val="0"/>
              </w:rPr>
              <w:t xml:space="preserve"> is clean with proper veil schedule. The carpet at praying hall is clean as well as the homogenous floor tiles at ablution area. </w:t>
            </w:r>
          </w:p>
        </w:tc>
      </w:tr>
      <w:tr w:rsidR="00C74A41" w:rsidRPr="00585612" w:rsidTr="00585612">
        <w:tc>
          <w:tcPr>
            <w:tcW w:w="1476" w:type="pct"/>
            <w:shd w:val="clear" w:color="auto" w:fill="auto"/>
          </w:tcPr>
          <w:p w:rsidR="00C74A41" w:rsidRPr="00585612" w:rsidRDefault="00C74A41" w:rsidP="00585612">
            <w:pPr>
              <w:pStyle w:val="Heading1"/>
              <w:jc w:val="both"/>
              <w:rPr>
                <w:b w:val="0"/>
              </w:rPr>
            </w:pPr>
            <w:r w:rsidRPr="00585612">
              <w:rPr>
                <w:b w:val="0"/>
              </w:rPr>
              <w:t xml:space="preserve">Water and ergonomic aspect </w:t>
            </w:r>
          </w:p>
          <w:p w:rsidR="00C74A41" w:rsidRPr="00585612" w:rsidRDefault="00C74A41" w:rsidP="00585612">
            <w:pPr>
              <w:pStyle w:val="Heading1"/>
              <w:jc w:val="both"/>
              <w:rPr>
                <w:b w:val="0"/>
              </w:rPr>
            </w:pPr>
          </w:p>
        </w:tc>
        <w:tc>
          <w:tcPr>
            <w:tcW w:w="1549" w:type="pct"/>
            <w:shd w:val="clear" w:color="auto" w:fill="auto"/>
          </w:tcPr>
          <w:p w:rsidR="00C74A41" w:rsidRPr="00585612" w:rsidRDefault="00C74A41" w:rsidP="00585612">
            <w:pPr>
              <w:pStyle w:val="Heading1"/>
              <w:jc w:val="both"/>
              <w:rPr>
                <w:b w:val="0"/>
              </w:rPr>
            </w:pPr>
            <w:r w:rsidRPr="00585612">
              <w:rPr>
                <w:b w:val="0"/>
              </w:rPr>
              <w:t xml:space="preserve">No inclusion of ergonomic aspect in the guideline. </w:t>
            </w:r>
          </w:p>
        </w:tc>
        <w:tc>
          <w:tcPr>
            <w:tcW w:w="1975" w:type="pct"/>
            <w:shd w:val="clear" w:color="auto" w:fill="auto"/>
          </w:tcPr>
          <w:p w:rsidR="00C74A41" w:rsidRPr="00585612" w:rsidRDefault="00C74A41" w:rsidP="00585612">
            <w:pPr>
              <w:pStyle w:val="Heading1"/>
              <w:jc w:val="both"/>
              <w:rPr>
                <w:b w:val="0"/>
              </w:rPr>
            </w:pPr>
            <w:r w:rsidRPr="00585612">
              <w:rPr>
                <w:b w:val="0"/>
              </w:rPr>
              <w:t xml:space="preserve">The buildings separate the wet surface, semi-wet surface and dry surface accordingly. The anthropometric dimension at Mall A is measured and their ablution unit measurement is acceptable. </w:t>
            </w:r>
          </w:p>
        </w:tc>
      </w:tr>
      <w:tr w:rsidR="00C74A41" w:rsidRPr="00585612" w:rsidTr="00585612">
        <w:tc>
          <w:tcPr>
            <w:tcW w:w="1476" w:type="pct"/>
            <w:tcBorders>
              <w:bottom w:val="single" w:sz="4" w:space="0" w:color="auto"/>
            </w:tcBorders>
            <w:shd w:val="clear" w:color="auto" w:fill="D9D9D9"/>
          </w:tcPr>
          <w:p w:rsidR="00C74A41" w:rsidRPr="00585612" w:rsidRDefault="00C74A41" w:rsidP="00585612">
            <w:pPr>
              <w:pStyle w:val="Heading1"/>
              <w:jc w:val="both"/>
              <w:rPr>
                <w:b w:val="0"/>
              </w:rPr>
            </w:pPr>
            <w:r w:rsidRPr="00585612">
              <w:rPr>
                <w:b w:val="0"/>
              </w:rPr>
              <w:t>Security</w:t>
            </w:r>
          </w:p>
          <w:p w:rsidR="00C74A41" w:rsidRPr="00585612" w:rsidRDefault="00C74A41" w:rsidP="00585612">
            <w:pPr>
              <w:pStyle w:val="Heading1"/>
              <w:jc w:val="both"/>
              <w:rPr>
                <w:b w:val="0"/>
              </w:rPr>
            </w:pPr>
          </w:p>
        </w:tc>
        <w:tc>
          <w:tcPr>
            <w:tcW w:w="1549" w:type="pct"/>
            <w:tcBorders>
              <w:bottom w:val="single" w:sz="4" w:space="0" w:color="auto"/>
            </w:tcBorders>
            <w:shd w:val="clear" w:color="auto" w:fill="D9D9D9"/>
          </w:tcPr>
          <w:p w:rsidR="00C74A41" w:rsidRPr="00585612" w:rsidRDefault="00C74A41" w:rsidP="00585612">
            <w:pPr>
              <w:pStyle w:val="Heading1"/>
              <w:jc w:val="both"/>
              <w:rPr>
                <w:b w:val="0"/>
              </w:rPr>
            </w:pPr>
            <w:r w:rsidRPr="00585612">
              <w:rPr>
                <w:b w:val="0"/>
              </w:rPr>
              <w:t xml:space="preserve">No specific provision on safety in the existing guideline. </w:t>
            </w:r>
          </w:p>
        </w:tc>
        <w:tc>
          <w:tcPr>
            <w:tcW w:w="1975" w:type="pct"/>
            <w:tcBorders>
              <w:bottom w:val="single" w:sz="4" w:space="0" w:color="auto"/>
            </w:tcBorders>
            <w:shd w:val="clear" w:color="auto" w:fill="D9D9D9"/>
          </w:tcPr>
          <w:p w:rsidR="00C74A41" w:rsidRPr="00585612" w:rsidRDefault="00C74A41" w:rsidP="00585612">
            <w:pPr>
              <w:pStyle w:val="Heading1"/>
              <w:jc w:val="both"/>
              <w:rPr>
                <w:b w:val="0"/>
              </w:rPr>
            </w:pPr>
            <w:r w:rsidRPr="00585612">
              <w:rPr>
                <w:b w:val="0"/>
              </w:rPr>
              <w:t xml:space="preserve">No </w:t>
            </w:r>
            <w:proofErr w:type="spellStart"/>
            <w:r w:rsidRPr="00585612">
              <w:rPr>
                <w:b w:val="0"/>
              </w:rPr>
              <w:t>cctv</w:t>
            </w:r>
            <w:proofErr w:type="spellEnd"/>
            <w:r w:rsidRPr="00585612">
              <w:rPr>
                <w:b w:val="0"/>
              </w:rPr>
              <w:t xml:space="preserve"> and no security guard on duties. </w:t>
            </w:r>
          </w:p>
        </w:tc>
      </w:tr>
    </w:tbl>
    <w:p w:rsidR="001A631E" w:rsidRPr="00585612" w:rsidRDefault="001A631E" w:rsidP="00585612">
      <w:pPr>
        <w:pStyle w:val="Heading1"/>
        <w:jc w:val="both"/>
        <w:rPr>
          <w:b w:val="0"/>
          <w:lang w:val="en-US"/>
        </w:rPr>
      </w:pPr>
    </w:p>
    <w:p w:rsidR="003711B6" w:rsidRDefault="00391579" w:rsidP="003711B6">
      <w:pPr>
        <w:pStyle w:val="Heading1"/>
        <w:jc w:val="both"/>
        <w:rPr>
          <w:b w:val="0"/>
        </w:rPr>
      </w:pPr>
      <w:r>
        <w:t>CONCLUSIONS</w:t>
      </w:r>
    </w:p>
    <w:p w:rsidR="001A631E" w:rsidRDefault="00585612" w:rsidP="003711B6">
      <w:pPr>
        <w:pStyle w:val="Heading1"/>
        <w:jc w:val="both"/>
        <w:rPr>
          <w:b w:val="0"/>
        </w:rPr>
      </w:pPr>
      <w:r w:rsidRPr="00585612">
        <w:rPr>
          <w:b w:val="0"/>
        </w:rPr>
        <w:t xml:space="preserve">Factor analyses from the qualitative approach have contributed to the initial required design factors for ablution area which derived from critical tabulation of literature reviews. The factors were then being validated from the interview sessions which show that all factors have insufficient attention all this while. Apparently, even though existing guideline provide minimum requirement compared to these suggested factors, observations on two </w:t>
      </w:r>
      <w:proofErr w:type="spellStart"/>
      <w:r w:rsidRPr="00585612">
        <w:rPr>
          <w:b w:val="0"/>
        </w:rPr>
        <w:t>musollas</w:t>
      </w:r>
      <w:proofErr w:type="spellEnd"/>
      <w:r w:rsidRPr="00585612">
        <w:rPr>
          <w:b w:val="0"/>
        </w:rPr>
        <w:t xml:space="preserve"> show that there are positive initiatives from the building management. These were supported with a good satisfaction level from the users in both malls as reported earlier. Therefore, it is strongly recommended to expand this investigation on other buildings at other places. This paper has contributed to the knowledge of design factor specifically for ablution area in </w:t>
      </w:r>
      <w:proofErr w:type="spellStart"/>
      <w:r w:rsidRPr="00585612">
        <w:rPr>
          <w:b w:val="0"/>
        </w:rPr>
        <w:t>musholla</w:t>
      </w:r>
      <w:proofErr w:type="spellEnd"/>
      <w:r w:rsidRPr="00585612">
        <w:rPr>
          <w:b w:val="0"/>
        </w:rPr>
        <w:t xml:space="preserve"> at shopping malls.</w:t>
      </w:r>
    </w:p>
    <w:p w:rsidR="00A13B88" w:rsidRDefault="00A13B88" w:rsidP="003711B6">
      <w:pPr>
        <w:pStyle w:val="Heading1"/>
        <w:jc w:val="both"/>
        <w:rPr>
          <w:b w:val="0"/>
        </w:rPr>
      </w:pPr>
    </w:p>
    <w:p w:rsidR="006C7050" w:rsidRDefault="002E6373" w:rsidP="009346E7">
      <w:pPr>
        <w:spacing w:before="1" w:line="183" w:lineRule="exact"/>
        <w:ind w:left="105"/>
        <w:rPr>
          <w:b/>
          <w:sz w:val="16"/>
        </w:rPr>
      </w:pPr>
      <w:r>
        <w:rPr>
          <w:b/>
          <w:sz w:val="16"/>
        </w:rPr>
        <w:t>References</w:t>
      </w:r>
    </w:p>
    <w:p w:rsidR="00AF41F5" w:rsidRPr="00AF41F5" w:rsidRDefault="00AF41F5" w:rsidP="00AF41F5">
      <w:pPr>
        <w:spacing w:before="1" w:line="183" w:lineRule="exact"/>
        <w:ind w:left="567" w:hanging="425"/>
        <w:rPr>
          <w:sz w:val="16"/>
        </w:rPr>
      </w:pPr>
      <w:r w:rsidRPr="00AF41F5">
        <w:rPr>
          <w:sz w:val="16"/>
        </w:rPr>
        <w:t xml:space="preserve">Abu </w:t>
      </w:r>
      <w:proofErr w:type="spellStart"/>
      <w:r w:rsidRPr="00AF41F5">
        <w:rPr>
          <w:sz w:val="16"/>
        </w:rPr>
        <w:t>Ubaida</w:t>
      </w:r>
      <w:proofErr w:type="spellEnd"/>
      <w:r w:rsidRPr="00AF41F5">
        <w:rPr>
          <w:sz w:val="16"/>
        </w:rPr>
        <w:t xml:space="preserve">. 2013. </w:t>
      </w:r>
      <w:r w:rsidRPr="00AF41F5">
        <w:rPr>
          <w:i/>
          <w:sz w:val="16"/>
        </w:rPr>
        <w:t xml:space="preserve">How to perform </w:t>
      </w:r>
      <w:proofErr w:type="spellStart"/>
      <w:r w:rsidRPr="00AF41F5">
        <w:rPr>
          <w:i/>
          <w:sz w:val="16"/>
        </w:rPr>
        <w:t>wudhu</w:t>
      </w:r>
      <w:proofErr w:type="spellEnd"/>
      <w:r w:rsidRPr="00AF41F5">
        <w:rPr>
          <w:i/>
          <w:sz w:val="16"/>
        </w:rPr>
        <w:t xml:space="preserve"> (Ablution, </w:t>
      </w:r>
      <w:proofErr w:type="spellStart"/>
      <w:r w:rsidRPr="00AF41F5">
        <w:rPr>
          <w:i/>
          <w:sz w:val="16"/>
        </w:rPr>
        <w:t>wuzu</w:t>
      </w:r>
      <w:proofErr w:type="spellEnd"/>
      <w:r w:rsidRPr="00AF41F5">
        <w:rPr>
          <w:i/>
          <w:sz w:val="16"/>
        </w:rPr>
        <w:t xml:space="preserve">, </w:t>
      </w:r>
      <w:proofErr w:type="spellStart"/>
      <w:r w:rsidRPr="00AF41F5">
        <w:rPr>
          <w:i/>
          <w:sz w:val="16"/>
        </w:rPr>
        <w:t>ghusl</w:t>
      </w:r>
      <w:proofErr w:type="spellEnd"/>
      <w:r w:rsidRPr="00AF41F5">
        <w:rPr>
          <w:i/>
          <w:sz w:val="16"/>
        </w:rPr>
        <w:t>).</w:t>
      </w:r>
      <w:r w:rsidRPr="00AF41F5">
        <w:rPr>
          <w:sz w:val="16"/>
        </w:rPr>
        <w:t xml:space="preserve"> Muslim Prayer</w:t>
      </w:r>
    </w:p>
    <w:p w:rsidR="00AF41F5" w:rsidRPr="00AF41F5" w:rsidRDefault="00AF41F5" w:rsidP="00AF41F5">
      <w:pPr>
        <w:spacing w:before="1" w:line="183" w:lineRule="exact"/>
        <w:ind w:left="567" w:hanging="425"/>
        <w:rPr>
          <w:sz w:val="16"/>
        </w:rPr>
      </w:pPr>
      <w:r w:rsidRPr="00AF41F5">
        <w:rPr>
          <w:sz w:val="16"/>
        </w:rPr>
        <w:t xml:space="preserve">Abu </w:t>
      </w:r>
      <w:proofErr w:type="spellStart"/>
      <w:r w:rsidRPr="00AF41F5">
        <w:rPr>
          <w:sz w:val="16"/>
        </w:rPr>
        <w:t>Bakar</w:t>
      </w:r>
      <w:proofErr w:type="spellEnd"/>
      <w:r w:rsidRPr="00AF41F5">
        <w:rPr>
          <w:sz w:val="16"/>
        </w:rPr>
        <w:t xml:space="preserve"> A. H. et al., 2015. Ablution Design: The concepts and design criteria. </w:t>
      </w:r>
      <w:proofErr w:type="spellStart"/>
      <w:r w:rsidRPr="00AF41F5">
        <w:rPr>
          <w:sz w:val="16"/>
        </w:rPr>
        <w:t>Universiti</w:t>
      </w:r>
      <w:proofErr w:type="spellEnd"/>
      <w:r w:rsidRPr="00AF41F5">
        <w:rPr>
          <w:sz w:val="16"/>
        </w:rPr>
        <w:t xml:space="preserve"> </w:t>
      </w:r>
      <w:proofErr w:type="spellStart"/>
      <w:r w:rsidRPr="00AF41F5">
        <w:rPr>
          <w:sz w:val="16"/>
        </w:rPr>
        <w:t>Teknologi</w:t>
      </w:r>
      <w:proofErr w:type="spellEnd"/>
      <w:r w:rsidRPr="00AF41F5">
        <w:rPr>
          <w:sz w:val="16"/>
        </w:rPr>
        <w:t xml:space="preserve"> Mara, Thesis PhD</w:t>
      </w:r>
    </w:p>
    <w:p w:rsidR="00AF41F5" w:rsidRPr="00AF41F5" w:rsidRDefault="00AF41F5" w:rsidP="00AF41F5">
      <w:pPr>
        <w:spacing w:before="1" w:line="183" w:lineRule="exact"/>
        <w:ind w:left="567" w:hanging="425"/>
        <w:rPr>
          <w:sz w:val="16"/>
        </w:rPr>
      </w:pPr>
      <w:r w:rsidRPr="00AF41F5">
        <w:rPr>
          <w:sz w:val="16"/>
        </w:rPr>
        <w:t xml:space="preserve">Boy </w:t>
      </w:r>
      <w:proofErr w:type="spellStart"/>
      <w:r w:rsidRPr="00AF41F5">
        <w:rPr>
          <w:sz w:val="16"/>
        </w:rPr>
        <w:t>Nurtjahyo</w:t>
      </w:r>
      <w:proofErr w:type="spellEnd"/>
      <w:r w:rsidRPr="00AF41F5">
        <w:rPr>
          <w:sz w:val="16"/>
        </w:rPr>
        <w:t xml:space="preserve">. M, (2013). </w:t>
      </w:r>
      <w:r w:rsidRPr="00AF41F5">
        <w:rPr>
          <w:i/>
          <w:sz w:val="16"/>
        </w:rPr>
        <w:t xml:space="preserve">Designing and ergonomic-based public </w:t>
      </w:r>
      <w:proofErr w:type="spellStart"/>
      <w:r w:rsidRPr="00AF41F5">
        <w:rPr>
          <w:i/>
          <w:sz w:val="16"/>
        </w:rPr>
        <w:t>wudhu</w:t>
      </w:r>
      <w:proofErr w:type="spellEnd"/>
      <w:r w:rsidRPr="00AF41F5">
        <w:rPr>
          <w:i/>
          <w:sz w:val="16"/>
        </w:rPr>
        <w:t xml:space="preserve"> place for Indonesian population using postures evaluation index and virtual environment method</w:t>
      </w:r>
      <w:r w:rsidRPr="00AF41F5">
        <w:rPr>
          <w:sz w:val="16"/>
        </w:rPr>
        <w:t>. International Journal of Ergonomics (IJEG), 3 (1)</w:t>
      </w:r>
    </w:p>
    <w:p w:rsidR="00AF41F5" w:rsidRPr="00AF41F5" w:rsidRDefault="00AF41F5" w:rsidP="00AF41F5">
      <w:pPr>
        <w:spacing w:before="1" w:line="183" w:lineRule="exact"/>
        <w:ind w:left="567" w:hanging="425"/>
        <w:rPr>
          <w:sz w:val="16"/>
        </w:rPr>
      </w:pPr>
      <w:r w:rsidRPr="00AF41F5">
        <w:rPr>
          <w:sz w:val="16"/>
        </w:rPr>
        <w:t xml:space="preserve">Creswell, J.W. &amp; Clark, V.L.P., 2011. </w:t>
      </w:r>
      <w:r w:rsidRPr="00AF41F5">
        <w:rPr>
          <w:i/>
          <w:iCs/>
          <w:sz w:val="16"/>
        </w:rPr>
        <w:t>Designing and conducting mixed methods research</w:t>
      </w:r>
      <w:r w:rsidRPr="00AF41F5">
        <w:rPr>
          <w:sz w:val="16"/>
        </w:rPr>
        <w:t xml:space="preserve"> Second Edi., SAGE Publication</w:t>
      </w:r>
    </w:p>
    <w:p w:rsidR="00AF41F5" w:rsidRPr="00AF41F5" w:rsidRDefault="00AF41F5" w:rsidP="00AF41F5">
      <w:pPr>
        <w:spacing w:before="1" w:line="183" w:lineRule="exact"/>
        <w:ind w:left="567" w:hanging="425"/>
        <w:rPr>
          <w:i/>
          <w:sz w:val="16"/>
        </w:rPr>
      </w:pPr>
      <w:proofErr w:type="spellStart"/>
      <w:r w:rsidRPr="00AF41F5">
        <w:rPr>
          <w:sz w:val="16"/>
        </w:rPr>
        <w:t>Dawal</w:t>
      </w:r>
      <w:proofErr w:type="spellEnd"/>
      <w:r w:rsidRPr="00AF41F5">
        <w:rPr>
          <w:sz w:val="16"/>
        </w:rPr>
        <w:t xml:space="preserve">, S. M. (2016). </w:t>
      </w:r>
      <w:proofErr w:type="spellStart"/>
      <w:r w:rsidRPr="00AF41F5">
        <w:rPr>
          <w:i/>
          <w:sz w:val="16"/>
        </w:rPr>
        <w:t>Wudu</w:t>
      </w:r>
      <w:proofErr w:type="spellEnd"/>
      <w:r w:rsidRPr="00AF41F5">
        <w:rPr>
          <w:i/>
          <w:sz w:val="16"/>
        </w:rPr>
        <w:t>’ workstation design for elderly and disabled people in Malaysia’s mosque</w:t>
      </w:r>
      <w:r w:rsidRPr="00AF41F5">
        <w:rPr>
          <w:sz w:val="16"/>
        </w:rPr>
        <w:t xml:space="preserve">. 45 (1). 114 - 124 </w:t>
      </w:r>
    </w:p>
    <w:p w:rsidR="00AF41F5" w:rsidRPr="00AF41F5" w:rsidRDefault="00AF41F5" w:rsidP="00AF41F5">
      <w:pPr>
        <w:spacing w:before="1" w:line="183" w:lineRule="exact"/>
        <w:ind w:left="567" w:hanging="425"/>
        <w:rPr>
          <w:sz w:val="16"/>
        </w:rPr>
      </w:pPr>
      <w:proofErr w:type="spellStart"/>
      <w:r w:rsidRPr="00AF41F5">
        <w:rPr>
          <w:sz w:val="16"/>
        </w:rPr>
        <w:t>Hamid</w:t>
      </w:r>
      <w:proofErr w:type="spellEnd"/>
      <w:r w:rsidRPr="00AF41F5">
        <w:rPr>
          <w:sz w:val="16"/>
        </w:rPr>
        <w:t xml:space="preserve">, A.B.A. et al., 2016. The Significance of Prayer Room Design Standards at Shopping Complex. In S. Z. </w:t>
      </w:r>
      <w:proofErr w:type="spellStart"/>
      <w:r w:rsidRPr="00AF41F5">
        <w:rPr>
          <w:sz w:val="16"/>
        </w:rPr>
        <w:t>Abidin</w:t>
      </w:r>
      <w:proofErr w:type="spellEnd"/>
      <w:r w:rsidRPr="00AF41F5">
        <w:rPr>
          <w:sz w:val="16"/>
        </w:rPr>
        <w:t xml:space="preserve"> et al., eds. </w:t>
      </w:r>
      <w:r w:rsidRPr="00AF41F5">
        <w:rPr>
          <w:i/>
          <w:iCs/>
          <w:sz w:val="16"/>
        </w:rPr>
        <w:t>Proceedings of the 2nd International Colloquium of Art and Design Education Research (</w:t>
      </w:r>
      <w:proofErr w:type="spellStart"/>
      <w:r w:rsidRPr="00AF41F5">
        <w:rPr>
          <w:i/>
          <w:iCs/>
          <w:sz w:val="16"/>
        </w:rPr>
        <w:t>i</w:t>
      </w:r>
      <w:proofErr w:type="spellEnd"/>
      <w:r w:rsidRPr="00AF41F5">
        <w:rPr>
          <w:i/>
          <w:iCs/>
          <w:sz w:val="16"/>
        </w:rPr>
        <w:t>-CADER 2015)</w:t>
      </w:r>
      <w:r w:rsidRPr="00AF41F5">
        <w:rPr>
          <w:sz w:val="16"/>
        </w:rPr>
        <w:t>. Singapore: Springer, pp. 521–532.</w:t>
      </w:r>
    </w:p>
    <w:p w:rsidR="00AF41F5" w:rsidRPr="00AF41F5" w:rsidRDefault="00AF41F5" w:rsidP="00AF41F5">
      <w:pPr>
        <w:spacing w:before="1" w:line="183" w:lineRule="exact"/>
        <w:ind w:left="567" w:hanging="425"/>
        <w:rPr>
          <w:sz w:val="16"/>
        </w:rPr>
      </w:pPr>
      <w:proofErr w:type="spellStart"/>
      <w:r w:rsidRPr="00AF41F5">
        <w:rPr>
          <w:sz w:val="16"/>
        </w:rPr>
        <w:t>Hamzah</w:t>
      </w:r>
      <w:proofErr w:type="spellEnd"/>
      <w:r w:rsidRPr="00AF41F5">
        <w:rPr>
          <w:sz w:val="16"/>
        </w:rPr>
        <w:t>, N. H. et al (2015). Prayer Room Design in Transit Area, University of Putra Malaysia, pp 105 - 107</w:t>
      </w:r>
    </w:p>
    <w:p w:rsidR="00AF41F5" w:rsidRPr="00AF41F5" w:rsidRDefault="00AF41F5" w:rsidP="00AF41F5">
      <w:pPr>
        <w:spacing w:before="1" w:line="183" w:lineRule="exact"/>
        <w:ind w:left="567" w:hanging="425"/>
        <w:rPr>
          <w:sz w:val="16"/>
        </w:rPr>
      </w:pPr>
      <w:r w:rsidRPr="00AF41F5">
        <w:rPr>
          <w:sz w:val="16"/>
        </w:rPr>
        <w:t>Hilliard, D. J. et al., (1999). Exploring the relationship between culture values, beliefs, and practices and patient falls: A Middle Eastern</w:t>
      </w:r>
    </w:p>
    <w:p w:rsidR="00AF41F5" w:rsidRPr="00AF41F5" w:rsidRDefault="00AF41F5" w:rsidP="00AF41F5">
      <w:pPr>
        <w:spacing w:before="1" w:line="183" w:lineRule="exact"/>
        <w:ind w:left="567" w:hanging="425"/>
        <w:rPr>
          <w:sz w:val="16"/>
        </w:rPr>
      </w:pPr>
      <w:proofErr w:type="spellStart"/>
      <w:r w:rsidRPr="00AF41F5">
        <w:rPr>
          <w:sz w:val="16"/>
        </w:rPr>
        <w:t>Jabatan</w:t>
      </w:r>
      <w:proofErr w:type="spellEnd"/>
      <w:r w:rsidRPr="00AF41F5">
        <w:rPr>
          <w:sz w:val="16"/>
        </w:rPr>
        <w:t xml:space="preserve"> </w:t>
      </w:r>
      <w:proofErr w:type="spellStart"/>
      <w:r w:rsidRPr="00AF41F5">
        <w:rPr>
          <w:sz w:val="16"/>
        </w:rPr>
        <w:t>Perancangan</w:t>
      </w:r>
      <w:proofErr w:type="spellEnd"/>
      <w:r w:rsidRPr="00AF41F5">
        <w:rPr>
          <w:sz w:val="16"/>
        </w:rPr>
        <w:t xml:space="preserve"> Bandar </w:t>
      </w:r>
      <w:proofErr w:type="spellStart"/>
      <w:r w:rsidRPr="00AF41F5">
        <w:rPr>
          <w:sz w:val="16"/>
        </w:rPr>
        <w:t>dan</w:t>
      </w:r>
      <w:proofErr w:type="spellEnd"/>
      <w:r w:rsidRPr="00AF41F5">
        <w:rPr>
          <w:sz w:val="16"/>
        </w:rPr>
        <w:t xml:space="preserve"> </w:t>
      </w:r>
      <w:proofErr w:type="spellStart"/>
      <w:r w:rsidRPr="00AF41F5">
        <w:rPr>
          <w:sz w:val="16"/>
        </w:rPr>
        <w:t>Desa</w:t>
      </w:r>
      <w:proofErr w:type="spellEnd"/>
      <w:r w:rsidRPr="00AF41F5">
        <w:rPr>
          <w:sz w:val="16"/>
        </w:rPr>
        <w:t xml:space="preserve"> (2011), </w:t>
      </w:r>
      <w:proofErr w:type="spellStart"/>
      <w:r w:rsidRPr="00AF41F5">
        <w:rPr>
          <w:sz w:val="16"/>
        </w:rPr>
        <w:t>Draf</w:t>
      </w:r>
      <w:proofErr w:type="spellEnd"/>
      <w:r w:rsidRPr="00AF41F5">
        <w:rPr>
          <w:sz w:val="16"/>
        </w:rPr>
        <w:t xml:space="preserve"> – </w:t>
      </w:r>
      <w:proofErr w:type="spellStart"/>
      <w:r w:rsidRPr="00AF41F5">
        <w:rPr>
          <w:sz w:val="16"/>
        </w:rPr>
        <w:t>Garis</w:t>
      </w:r>
      <w:proofErr w:type="spellEnd"/>
      <w:r w:rsidRPr="00AF41F5">
        <w:rPr>
          <w:sz w:val="16"/>
        </w:rPr>
        <w:t xml:space="preserve"> </w:t>
      </w:r>
      <w:proofErr w:type="spellStart"/>
      <w:r w:rsidRPr="00AF41F5">
        <w:rPr>
          <w:sz w:val="16"/>
        </w:rPr>
        <w:t>Panduan</w:t>
      </w:r>
      <w:proofErr w:type="spellEnd"/>
      <w:r w:rsidRPr="00AF41F5">
        <w:rPr>
          <w:sz w:val="16"/>
        </w:rPr>
        <w:t xml:space="preserve"> </w:t>
      </w:r>
      <w:proofErr w:type="spellStart"/>
      <w:r w:rsidRPr="00AF41F5">
        <w:rPr>
          <w:sz w:val="16"/>
        </w:rPr>
        <w:t>Perancangan</w:t>
      </w:r>
      <w:proofErr w:type="spellEnd"/>
      <w:r w:rsidRPr="00AF41F5">
        <w:rPr>
          <w:sz w:val="16"/>
        </w:rPr>
        <w:t xml:space="preserve"> </w:t>
      </w:r>
      <w:proofErr w:type="spellStart"/>
      <w:r w:rsidRPr="00AF41F5">
        <w:rPr>
          <w:sz w:val="16"/>
        </w:rPr>
        <w:t>Masjid</w:t>
      </w:r>
      <w:proofErr w:type="spellEnd"/>
      <w:r w:rsidRPr="00AF41F5">
        <w:rPr>
          <w:sz w:val="16"/>
        </w:rPr>
        <w:t xml:space="preserve"> </w:t>
      </w:r>
      <w:proofErr w:type="spellStart"/>
      <w:r w:rsidRPr="00AF41F5">
        <w:rPr>
          <w:sz w:val="16"/>
        </w:rPr>
        <w:t>dan</w:t>
      </w:r>
      <w:proofErr w:type="spellEnd"/>
      <w:r w:rsidRPr="00AF41F5">
        <w:rPr>
          <w:sz w:val="16"/>
        </w:rPr>
        <w:t xml:space="preserve"> </w:t>
      </w:r>
      <w:proofErr w:type="spellStart"/>
      <w:r w:rsidRPr="00AF41F5">
        <w:rPr>
          <w:sz w:val="16"/>
        </w:rPr>
        <w:t>Surau</w:t>
      </w:r>
      <w:proofErr w:type="spellEnd"/>
      <w:r w:rsidRPr="00AF41F5">
        <w:rPr>
          <w:sz w:val="16"/>
        </w:rPr>
        <w:t>. Malaysia (unpublished)</w:t>
      </w:r>
    </w:p>
    <w:p w:rsidR="00AF41F5" w:rsidRPr="00AF41F5" w:rsidRDefault="00AF41F5" w:rsidP="00AF41F5">
      <w:pPr>
        <w:spacing w:before="1" w:line="183" w:lineRule="exact"/>
        <w:ind w:left="567" w:hanging="425"/>
        <w:rPr>
          <w:sz w:val="16"/>
        </w:rPr>
      </w:pPr>
      <w:proofErr w:type="spellStart"/>
      <w:r w:rsidRPr="00AF41F5">
        <w:rPr>
          <w:sz w:val="16"/>
        </w:rPr>
        <w:t>Jabatan</w:t>
      </w:r>
      <w:proofErr w:type="spellEnd"/>
      <w:r w:rsidRPr="00AF41F5">
        <w:rPr>
          <w:sz w:val="16"/>
        </w:rPr>
        <w:t xml:space="preserve"> </w:t>
      </w:r>
      <w:proofErr w:type="spellStart"/>
      <w:r w:rsidRPr="00AF41F5">
        <w:rPr>
          <w:sz w:val="16"/>
        </w:rPr>
        <w:t>Kerja</w:t>
      </w:r>
      <w:proofErr w:type="spellEnd"/>
      <w:r w:rsidRPr="00AF41F5">
        <w:rPr>
          <w:sz w:val="16"/>
        </w:rPr>
        <w:t xml:space="preserve"> Raya, 2013. </w:t>
      </w:r>
      <w:proofErr w:type="spellStart"/>
      <w:r w:rsidRPr="00AF41F5">
        <w:rPr>
          <w:i/>
          <w:iCs/>
          <w:sz w:val="16"/>
        </w:rPr>
        <w:t>Garis</w:t>
      </w:r>
      <w:proofErr w:type="spellEnd"/>
      <w:r w:rsidRPr="00AF41F5">
        <w:rPr>
          <w:i/>
          <w:iCs/>
          <w:sz w:val="16"/>
        </w:rPr>
        <w:t xml:space="preserve"> </w:t>
      </w:r>
      <w:proofErr w:type="spellStart"/>
      <w:r w:rsidRPr="00AF41F5">
        <w:rPr>
          <w:i/>
          <w:iCs/>
          <w:sz w:val="16"/>
        </w:rPr>
        <w:t>Panduan</w:t>
      </w:r>
      <w:proofErr w:type="spellEnd"/>
      <w:r w:rsidRPr="00AF41F5">
        <w:rPr>
          <w:i/>
          <w:iCs/>
          <w:sz w:val="16"/>
        </w:rPr>
        <w:t xml:space="preserve"> </w:t>
      </w:r>
      <w:proofErr w:type="spellStart"/>
      <w:r w:rsidRPr="00AF41F5">
        <w:rPr>
          <w:i/>
          <w:iCs/>
          <w:sz w:val="16"/>
        </w:rPr>
        <w:t>Penilaian</w:t>
      </w:r>
      <w:proofErr w:type="spellEnd"/>
      <w:r w:rsidRPr="00AF41F5">
        <w:rPr>
          <w:i/>
          <w:iCs/>
          <w:sz w:val="16"/>
        </w:rPr>
        <w:t xml:space="preserve"> </w:t>
      </w:r>
      <w:proofErr w:type="spellStart"/>
      <w:r w:rsidRPr="00AF41F5">
        <w:rPr>
          <w:i/>
          <w:iCs/>
          <w:sz w:val="16"/>
        </w:rPr>
        <w:t>Pasca</w:t>
      </w:r>
      <w:proofErr w:type="spellEnd"/>
      <w:r w:rsidRPr="00AF41F5">
        <w:rPr>
          <w:i/>
          <w:iCs/>
          <w:sz w:val="16"/>
        </w:rPr>
        <w:t xml:space="preserve"> </w:t>
      </w:r>
      <w:proofErr w:type="spellStart"/>
      <w:r w:rsidRPr="00AF41F5">
        <w:rPr>
          <w:i/>
          <w:iCs/>
          <w:sz w:val="16"/>
        </w:rPr>
        <w:t>Menduduki</w:t>
      </w:r>
      <w:proofErr w:type="spellEnd"/>
      <w:r w:rsidRPr="00AF41F5">
        <w:rPr>
          <w:i/>
          <w:iCs/>
          <w:sz w:val="16"/>
        </w:rPr>
        <w:t xml:space="preserve"> Post Occupancy Evaluation </w:t>
      </w:r>
      <w:proofErr w:type="spellStart"/>
      <w:r w:rsidRPr="00AF41F5">
        <w:rPr>
          <w:i/>
          <w:iCs/>
          <w:sz w:val="16"/>
        </w:rPr>
        <w:t>Tahap</w:t>
      </w:r>
      <w:proofErr w:type="spellEnd"/>
      <w:r w:rsidRPr="00AF41F5">
        <w:rPr>
          <w:i/>
          <w:iCs/>
          <w:sz w:val="16"/>
        </w:rPr>
        <w:t xml:space="preserve"> 1</w:t>
      </w:r>
    </w:p>
    <w:p w:rsidR="00AF41F5" w:rsidRPr="00AF41F5" w:rsidRDefault="00AF41F5" w:rsidP="00AF41F5">
      <w:pPr>
        <w:spacing w:before="1" w:line="183" w:lineRule="exact"/>
        <w:ind w:left="567" w:hanging="425"/>
        <w:rPr>
          <w:sz w:val="16"/>
        </w:rPr>
      </w:pPr>
      <w:proofErr w:type="spellStart"/>
      <w:r w:rsidRPr="00AF41F5">
        <w:rPr>
          <w:sz w:val="16"/>
        </w:rPr>
        <w:t>Lum</w:t>
      </w:r>
      <w:proofErr w:type="spellEnd"/>
      <w:r w:rsidRPr="00AF41F5">
        <w:rPr>
          <w:sz w:val="16"/>
        </w:rPr>
        <w:t xml:space="preserve">, Y.., 2015. Malaysia Shopping Mall Survey 2014/2015. </w:t>
      </w:r>
      <w:r w:rsidRPr="00AF41F5">
        <w:rPr>
          <w:i/>
          <w:iCs/>
          <w:sz w:val="16"/>
        </w:rPr>
        <w:t>Malaysia Shopping Mall Association News Network</w:t>
      </w:r>
      <w:r w:rsidRPr="00AF41F5">
        <w:rPr>
          <w:sz w:val="16"/>
        </w:rPr>
        <w:t>, p.9</w:t>
      </w:r>
    </w:p>
    <w:p w:rsidR="00AF41F5" w:rsidRPr="00AF41F5" w:rsidRDefault="00AF41F5" w:rsidP="00AF41F5">
      <w:pPr>
        <w:spacing w:before="1" w:line="183" w:lineRule="exact"/>
        <w:ind w:left="567" w:hanging="425"/>
        <w:rPr>
          <w:sz w:val="16"/>
        </w:rPr>
      </w:pPr>
      <w:proofErr w:type="spellStart"/>
      <w:r w:rsidRPr="00AF41F5">
        <w:rPr>
          <w:sz w:val="16"/>
        </w:rPr>
        <w:t>Mokhtar</w:t>
      </w:r>
      <w:proofErr w:type="spellEnd"/>
      <w:r w:rsidRPr="00AF41F5">
        <w:rPr>
          <w:sz w:val="16"/>
        </w:rPr>
        <w:t xml:space="preserve">, A. (2005). </w:t>
      </w:r>
      <w:r w:rsidRPr="00AF41F5">
        <w:rPr>
          <w:i/>
          <w:sz w:val="16"/>
        </w:rPr>
        <w:t>Design Guidelines for Ablution Spaces in Mosques and Islamic Praying Facilities</w:t>
      </w:r>
      <w:r w:rsidRPr="00AF41F5">
        <w:rPr>
          <w:sz w:val="16"/>
        </w:rPr>
        <w:t xml:space="preserve">. United Arab Emirates: American of University of </w:t>
      </w:r>
      <w:proofErr w:type="spellStart"/>
      <w:r w:rsidRPr="00AF41F5">
        <w:rPr>
          <w:sz w:val="16"/>
        </w:rPr>
        <w:t>Sharjah</w:t>
      </w:r>
      <w:proofErr w:type="spellEnd"/>
    </w:p>
    <w:p w:rsidR="00AF41F5" w:rsidRPr="00AF41F5" w:rsidRDefault="00AF41F5" w:rsidP="00AF41F5">
      <w:pPr>
        <w:spacing w:before="1" w:line="183" w:lineRule="exact"/>
        <w:ind w:left="567" w:hanging="425"/>
        <w:rPr>
          <w:sz w:val="16"/>
        </w:rPr>
      </w:pPr>
      <w:proofErr w:type="spellStart"/>
      <w:r w:rsidRPr="00AF41F5">
        <w:rPr>
          <w:sz w:val="16"/>
        </w:rPr>
        <w:t>Rahim</w:t>
      </w:r>
      <w:proofErr w:type="spellEnd"/>
      <w:r w:rsidRPr="00AF41F5">
        <w:rPr>
          <w:sz w:val="16"/>
        </w:rPr>
        <w:t xml:space="preserve">, A. A. et al. (2014). </w:t>
      </w:r>
      <w:proofErr w:type="spellStart"/>
      <w:r w:rsidRPr="00AF41F5">
        <w:rPr>
          <w:i/>
          <w:sz w:val="16"/>
        </w:rPr>
        <w:t>Provoding</w:t>
      </w:r>
      <w:proofErr w:type="spellEnd"/>
      <w:r w:rsidRPr="00AF41F5">
        <w:rPr>
          <w:i/>
          <w:sz w:val="16"/>
        </w:rPr>
        <w:t xml:space="preserve"> accessibility for persons with disabilities (</w:t>
      </w:r>
      <w:proofErr w:type="spellStart"/>
      <w:r w:rsidRPr="00AF41F5">
        <w:rPr>
          <w:i/>
          <w:sz w:val="16"/>
        </w:rPr>
        <w:t>PwDs</w:t>
      </w:r>
      <w:proofErr w:type="spellEnd"/>
      <w:r w:rsidRPr="00AF41F5">
        <w:rPr>
          <w:i/>
          <w:sz w:val="16"/>
        </w:rPr>
        <w:t>) in Malaysian existing mosque.</w:t>
      </w:r>
      <w:r w:rsidRPr="00AF41F5">
        <w:rPr>
          <w:sz w:val="16"/>
        </w:rPr>
        <w:t xml:space="preserve"> International Islamic University Malaysia. </w:t>
      </w:r>
      <w:proofErr w:type="spellStart"/>
      <w:r w:rsidRPr="00AF41F5">
        <w:rPr>
          <w:sz w:val="16"/>
        </w:rPr>
        <w:t>Kuliyyah</w:t>
      </w:r>
      <w:proofErr w:type="spellEnd"/>
      <w:r w:rsidRPr="00AF41F5">
        <w:rPr>
          <w:sz w:val="16"/>
        </w:rPr>
        <w:t xml:space="preserve"> of Architecture and Environmental Design (KAED)</w:t>
      </w:r>
    </w:p>
    <w:p w:rsidR="00AF41F5" w:rsidRPr="00AF41F5" w:rsidRDefault="00AF41F5" w:rsidP="00AF41F5">
      <w:pPr>
        <w:spacing w:before="1" w:line="183" w:lineRule="exact"/>
        <w:ind w:left="567" w:hanging="425"/>
        <w:rPr>
          <w:sz w:val="16"/>
        </w:rPr>
      </w:pPr>
      <w:proofErr w:type="spellStart"/>
      <w:r w:rsidRPr="00AF41F5">
        <w:rPr>
          <w:sz w:val="16"/>
        </w:rPr>
        <w:t>Rusdi</w:t>
      </w:r>
      <w:proofErr w:type="spellEnd"/>
      <w:r w:rsidRPr="00AF41F5">
        <w:rPr>
          <w:sz w:val="16"/>
        </w:rPr>
        <w:t xml:space="preserve">, K. H (2016). Ethical Issues in Providing </w:t>
      </w:r>
      <w:proofErr w:type="spellStart"/>
      <w:r w:rsidRPr="00AF41F5">
        <w:rPr>
          <w:sz w:val="16"/>
        </w:rPr>
        <w:t>Surau</w:t>
      </w:r>
      <w:proofErr w:type="spellEnd"/>
      <w:r w:rsidRPr="00AF41F5">
        <w:rPr>
          <w:sz w:val="16"/>
        </w:rPr>
        <w:t xml:space="preserve"> Facility at Shopping Malls in Malaysia. </w:t>
      </w:r>
      <w:proofErr w:type="spellStart"/>
      <w:r w:rsidRPr="00AF41F5">
        <w:rPr>
          <w:sz w:val="16"/>
        </w:rPr>
        <w:t>Internation</w:t>
      </w:r>
      <w:proofErr w:type="spellEnd"/>
      <w:r w:rsidRPr="00AF41F5">
        <w:rPr>
          <w:sz w:val="16"/>
        </w:rPr>
        <w:t xml:space="preserve"> Islamic University Malaysia. pp 1 - 18</w:t>
      </w:r>
    </w:p>
    <w:p w:rsidR="00AF41F5" w:rsidRPr="00AF41F5" w:rsidRDefault="00AF41F5" w:rsidP="00AF41F5">
      <w:pPr>
        <w:spacing w:before="1" w:line="183" w:lineRule="exact"/>
        <w:ind w:left="567" w:hanging="425"/>
        <w:rPr>
          <w:sz w:val="16"/>
        </w:rPr>
      </w:pPr>
      <w:proofErr w:type="spellStart"/>
      <w:r w:rsidRPr="00AF41F5">
        <w:rPr>
          <w:sz w:val="16"/>
        </w:rPr>
        <w:t>Syah</w:t>
      </w:r>
      <w:proofErr w:type="spellEnd"/>
      <w:r w:rsidRPr="00AF41F5">
        <w:rPr>
          <w:sz w:val="16"/>
        </w:rPr>
        <w:t xml:space="preserve">, M.A. &amp; </w:t>
      </w:r>
      <w:proofErr w:type="spellStart"/>
      <w:r w:rsidRPr="00AF41F5">
        <w:rPr>
          <w:sz w:val="16"/>
        </w:rPr>
        <w:t>Jasmi</w:t>
      </w:r>
      <w:proofErr w:type="spellEnd"/>
      <w:r w:rsidRPr="00AF41F5">
        <w:rPr>
          <w:sz w:val="16"/>
        </w:rPr>
        <w:t xml:space="preserve">, K. A. (2008). </w:t>
      </w:r>
      <w:proofErr w:type="spellStart"/>
      <w:r w:rsidRPr="00AF41F5">
        <w:rPr>
          <w:i/>
          <w:sz w:val="16"/>
        </w:rPr>
        <w:t>Cadangan</w:t>
      </w:r>
      <w:proofErr w:type="spellEnd"/>
      <w:r w:rsidRPr="00AF41F5">
        <w:rPr>
          <w:i/>
          <w:sz w:val="16"/>
        </w:rPr>
        <w:t xml:space="preserve"> </w:t>
      </w:r>
      <w:proofErr w:type="spellStart"/>
      <w:r w:rsidRPr="00AF41F5">
        <w:rPr>
          <w:i/>
          <w:sz w:val="16"/>
        </w:rPr>
        <w:t>penyediaan</w:t>
      </w:r>
      <w:proofErr w:type="spellEnd"/>
      <w:r w:rsidRPr="00AF41F5">
        <w:rPr>
          <w:i/>
          <w:sz w:val="16"/>
        </w:rPr>
        <w:t xml:space="preserve"> </w:t>
      </w:r>
      <w:proofErr w:type="spellStart"/>
      <w:r w:rsidRPr="00AF41F5">
        <w:rPr>
          <w:i/>
          <w:sz w:val="16"/>
        </w:rPr>
        <w:t>tempat</w:t>
      </w:r>
      <w:proofErr w:type="spellEnd"/>
      <w:r w:rsidRPr="00AF41F5">
        <w:rPr>
          <w:i/>
          <w:sz w:val="16"/>
        </w:rPr>
        <w:t xml:space="preserve"> </w:t>
      </w:r>
      <w:proofErr w:type="spellStart"/>
      <w:r w:rsidRPr="00AF41F5">
        <w:rPr>
          <w:i/>
          <w:sz w:val="16"/>
        </w:rPr>
        <w:t>wudu</w:t>
      </w:r>
      <w:proofErr w:type="spellEnd"/>
      <w:r w:rsidRPr="00AF41F5">
        <w:rPr>
          <w:i/>
          <w:sz w:val="16"/>
        </w:rPr>
        <w:t xml:space="preserve">’ yang </w:t>
      </w:r>
      <w:proofErr w:type="spellStart"/>
      <w:r w:rsidRPr="00AF41F5">
        <w:rPr>
          <w:i/>
          <w:sz w:val="16"/>
        </w:rPr>
        <w:t>efisien</w:t>
      </w:r>
      <w:proofErr w:type="spellEnd"/>
      <w:r w:rsidRPr="00AF41F5">
        <w:rPr>
          <w:i/>
          <w:sz w:val="16"/>
        </w:rPr>
        <w:t>.</w:t>
      </w:r>
      <w:r w:rsidRPr="00AF41F5">
        <w:rPr>
          <w:sz w:val="16"/>
        </w:rPr>
        <w:t xml:space="preserve"> </w:t>
      </w:r>
      <w:proofErr w:type="spellStart"/>
      <w:r w:rsidRPr="00AF41F5">
        <w:rPr>
          <w:sz w:val="16"/>
        </w:rPr>
        <w:t>Pengurusan</w:t>
      </w:r>
      <w:proofErr w:type="spellEnd"/>
      <w:r w:rsidRPr="00AF41F5">
        <w:rPr>
          <w:sz w:val="16"/>
        </w:rPr>
        <w:t xml:space="preserve"> </w:t>
      </w:r>
      <w:proofErr w:type="spellStart"/>
      <w:r w:rsidRPr="00AF41F5">
        <w:rPr>
          <w:sz w:val="16"/>
        </w:rPr>
        <w:t>Berkualiti</w:t>
      </w:r>
      <w:proofErr w:type="spellEnd"/>
      <w:r w:rsidRPr="00AF41F5">
        <w:rPr>
          <w:sz w:val="16"/>
        </w:rPr>
        <w:t xml:space="preserve"> </w:t>
      </w:r>
      <w:proofErr w:type="spellStart"/>
      <w:r w:rsidRPr="00AF41F5">
        <w:rPr>
          <w:sz w:val="16"/>
        </w:rPr>
        <w:t>Memacu</w:t>
      </w:r>
      <w:proofErr w:type="spellEnd"/>
      <w:r w:rsidRPr="00AF41F5">
        <w:rPr>
          <w:sz w:val="16"/>
        </w:rPr>
        <w:t xml:space="preserve"> </w:t>
      </w:r>
      <w:proofErr w:type="spellStart"/>
      <w:r w:rsidRPr="00AF41F5">
        <w:rPr>
          <w:sz w:val="16"/>
        </w:rPr>
        <w:t>Kecemerlangan</w:t>
      </w:r>
      <w:proofErr w:type="spellEnd"/>
      <w:r w:rsidRPr="00AF41F5">
        <w:rPr>
          <w:sz w:val="16"/>
        </w:rPr>
        <w:t xml:space="preserve"> </w:t>
      </w:r>
      <w:proofErr w:type="spellStart"/>
      <w:r w:rsidRPr="00AF41F5">
        <w:rPr>
          <w:sz w:val="16"/>
        </w:rPr>
        <w:t>Pengurusan</w:t>
      </w:r>
      <w:proofErr w:type="spellEnd"/>
      <w:r w:rsidRPr="00AF41F5">
        <w:rPr>
          <w:sz w:val="16"/>
        </w:rPr>
        <w:t xml:space="preserve"> </w:t>
      </w:r>
      <w:proofErr w:type="spellStart"/>
      <w:r w:rsidRPr="00AF41F5">
        <w:rPr>
          <w:sz w:val="16"/>
        </w:rPr>
        <w:t>Masjid</w:t>
      </w:r>
      <w:proofErr w:type="spellEnd"/>
      <w:r w:rsidRPr="00AF41F5">
        <w:rPr>
          <w:sz w:val="16"/>
        </w:rPr>
        <w:t xml:space="preserve">. </w:t>
      </w:r>
      <w:proofErr w:type="spellStart"/>
      <w:r w:rsidRPr="00AF41F5">
        <w:rPr>
          <w:sz w:val="16"/>
        </w:rPr>
        <w:t>Universiti</w:t>
      </w:r>
      <w:proofErr w:type="spellEnd"/>
      <w:r w:rsidRPr="00AF41F5">
        <w:rPr>
          <w:sz w:val="16"/>
        </w:rPr>
        <w:t xml:space="preserve"> </w:t>
      </w:r>
      <w:proofErr w:type="spellStart"/>
      <w:r w:rsidRPr="00AF41F5">
        <w:rPr>
          <w:sz w:val="16"/>
        </w:rPr>
        <w:t>Teknologi</w:t>
      </w:r>
      <w:proofErr w:type="spellEnd"/>
      <w:r w:rsidRPr="00AF41F5">
        <w:rPr>
          <w:sz w:val="16"/>
        </w:rPr>
        <w:t xml:space="preserve"> Malaysia. Pp 278 - 286</w:t>
      </w:r>
    </w:p>
    <w:p w:rsidR="00AF41F5" w:rsidRPr="00AF41F5" w:rsidRDefault="00AF41F5" w:rsidP="00AF41F5">
      <w:pPr>
        <w:spacing w:before="1" w:line="183" w:lineRule="exact"/>
        <w:ind w:left="567" w:hanging="425"/>
        <w:rPr>
          <w:sz w:val="16"/>
        </w:rPr>
      </w:pPr>
      <w:proofErr w:type="spellStart"/>
      <w:r w:rsidRPr="00AF41F5">
        <w:rPr>
          <w:sz w:val="16"/>
        </w:rPr>
        <w:t>Yatim</w:t>
      </w:r>
      <w:proofErr w:type="spellEnd"/>
      <w:r w:rsidRPr="00AF41F5">
        <w:rPr>
          <w:sz w:val="16"/>
        </w:rPr>
        <w:t xml:space="preserve">, N. (2013). </w:t>
      </w:r>
      <w:proofErr w:type="spellStart"/>
      <w:r w:rsidRPr="00AF41F5">
        <w:rPr>
          <w:sz w:val="16"/>
        </w:rPr>
        <w:t>Bina</w:t>
      </w:r>
      <w:proofErr w:type="spellEnd"/>
      <w:r w:rsidRPr="00AF41F5">
        <w:rPr>
          <w:sz w:val="16"/>
        </w:rPr>
        <w:t xml:space="preserve"> </w:t>
      </w:r>
      <w:proofErr w:type="spellStart"/>
      <w:r w:rsidRPr="00AF41F5">
        <w:rPr>
          <w:sz w:val="16"/>
        </w:rPr>
        <w:t>Surau</w:t>
      </w:r>
      <w:proofErr w:type="spellEnd"/>
      <w:r w:rsidRPr="00AF41F5">
        <w:rPr>
          <w:sz w:val="16"/>
        </w:rPr>
        <w:t xml:space="preserve"> </w:t>
      </w:r>
      <w:proofErr w:type="spellStart"/>
      <w:r w:rsidRPr="00AF41F5">
        <w:rPr>
          <w:sz w:val="16"/>
        </w:rPr>
        <w:t>di</w:t>
      </w:r>
      <w:proofErr w:type="spellEnd"/>
      <w:r w:rsidRPr="00AF41F5">
        <w:rPr>
          <w:sz w:val="16"/>
        </w:rPr>
        <w:t xml:space="preserve"> </w:t>
      </w:r>
      <w:proofErr w:type="spellStart"/>
      <w:r w:rsidRPr="00AF41F5">
        <w:rPr>
          <w:sz w:val="16"/>
        </w:rPr>
        <w:t>Sebelah</w:t>
      </w:r>
      <w:proofErr w:type="spellEnd"/>
      <w:r w:rsidRPr="00AF41F5">
        <w:rPr>
          <w:sz w:val="16"/>
        </w:rPr>
        <w:t xml:space="preserve"> </w:t>
      </w:r>
      <w:proofErr w:type="spellStart"/>
      <w:r w:rsidRPr="00AF41F5">
        <w:rPr>
          <w:sz w:val="16"/>
        </w:rPr>
        <w:t>Tandas</w:t>
      </w:r>
      <w:proofErr w:type="spellEnd"/>
      <w:r w:rsidRPr="00AF41F5">
        <w:rPr>
          <w:sz w:val="16"/>
        </w:rPr>
        <w:t xml:space="preserve">, </w:t>
      </w:r>
      <w:proofErr w:type="spellStart"/>
      <w:r w:rsidRPr="00AF41F5">
        <w:rPr>
          <w:sz w:val="16"/>
        </w:rPr>
        <w:t>Bukan</w:t>
      </w:r>
      <w:proofErr w:type="spellEnd"/>
      <w:r w:rsidRPr="00AF41F5">
        <w:rPr>
          <w:sz w:val="16"/>
        </w:rPr>
        <w:t xml:space="preserve"> </w:t>
      </w:r>
      <w:proofErr w:type="spellStart"/>
      <w:r w:rsidRPr="00AF41F5">
        <w:rPr>
          <w:sz w:val="16"/>
        </w:rPr>
        <w:t>Satu</w:t>
      </w:r>
      <w:proofErr w:type="spellEnd"/>
      <w:r w:rsidRPr="00AF41F5">
        <w:rPr>
          <w:sz w:val="16"/>
        </w:rPr>
        <w:t xml:space="preserve"> </w:t>
      </w:r>
      <w:proofErr w:type="spellStart"/>
      <w:r w:rsidRPr="00AF41F5">
        <w:rPr>
          <w:sz w:val="16"/>
        </w:rPr>
        <w:t>Penghinaan</w:t>
      </w:r>
      <w:proofErr w:type="spellEnd"/>
      <w:r w:rsidRPr="00AF41F5">
        <w:rPr>
          <w:sz w:val="16"/>
        </w:rPr>
        <w:t xml:space="preserve">? </w:t>
      </w:r>
      <w:proofErr w:type="spellStart"/>
      <w:r w:rsidRPr="00AF41F5">
        <w:rPr>
          <w:sz w:val="16"/>
        </w:rPr>
        <w:t>Utusan</w:t>
      </w:r>
      <w:proofErr w:type="spellEnd"/>
      <w:r w:rsidRPr="00AF41F5">
        <w:rPr>
          <w:sz w:val="16"/>
        </w:rPr>
        <w:t xml:space="preserve"> Malaysia, 16 </w:t>
      </w:r>
      <w:proofErr w:type="spellStart"/>
      <w:r w:rsidRPr="00AF41F5">
        <w:rPr>
          <w:sz w:val="16"/>
        </w:rPr>
        <w:t>Ogos</w:t>
      </w:r>
      <w:proofErr w:type="spellEnd"/>
      <w:r w:rsidRPr="00AF41F5">
        <w:rPr>
          <w:sz w:val="16"/>
        </w:rPr>
        <w:t xml:space="preserve"> 2013</w:t>
      </w:r>
    </w:p>
    <w:p w:rsidR="00AF41F5" w:rsidRPr="00AF41F5" w:rsidRDefault="00AF41F5" w:rsidP="00AF41F5">
      <w:pPr>
        <w:spacing w:before="1" w:line="183" w:lineRule="exact"/>
        <w:ind w:left="567" w:hanging="425"/>
        <w:rPr>
          <w:sz w:val="16"/>
        </w:rPr>
      </w:pPr>
      <w:r w:rsidRPr="00AF41F5">
        <w:rPr>
          <w:sz w:val="16"/>
        </w:rPr>
        <w:t xml:space="preserve">Yin, R.K., 2009. </w:t>
      </w:r>
      <w:r w:rsidRPr="00AF41F5">
        <w:rPr>
          <w:i/>
          <w:iCs/>
          <w:sz w:val="16"/>
        </w:rPr>
        <w:t>Case study research: Design and methods</w:t>
      </w:r>
      <w:r w:rsidRPr="00AF41F5">
        <w:rPr>
          <w:sz w:val="16"/>
        </w:rPr>
        <w:t xml:space="preserve"> Fourth Edi., SAGE Publication</w:t>
      </w:r>
    </w:p>
    <w:p w:rsidR="00930FCC" w:rsidRP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Default="00930FCC" w:rsidP="00930FCC">
      <w:pPr>
        <w:spacing w:before="1" w:line="183" w:lineRule="exact"/>
        <w:ind w:left="567" w:hanging="425"/>
        <w:rPr>
          <w:sz w:val="16"/>
        </w:rPr>
      </w:pPr>
    </w:p>
    <w:p w:rsidR="00930FCC" w:rsidRPr="00930FCC" w:rsidRDefault="00930FCC" w:rsidP="00930FCC">
      <w:pPr>
        <w:spacing w:before="1" w:line="183" w:lineRule="exact"/>
        <w:ind w:left="567" w:hanging="425"/>
        <w:rPr>
          <w:sz w:val="16"/>
        </w:rPr>
      </w:pPr>
    </w:p>
    <w:p w:rsidR="0018582E" w:rsidRDefault="0018582E" w:rsidP="006C7050">
      <w:pPr>
        <w:jc w:val="both"/>
        <w:rPr>
          <w:sz w:val="16"/>
          <w:szCs w:val="16"/>
        </w:rPr>
      </w:pPr>
    </w:p>
    <w:p w:rsidR="0018582E" w:rsidRDefault="0018582E" w:rsidP="0018582E">
      <w:pPr>
        <w:ind w:left="851" w:hanging="709"/>
        <w:jc w:val="both"/>
        <w:rPr>
          <w:sz w:val="16"/>
          <w:szCs w:val="16"/>
        </w:rPr>
      </w:pPr>
    </w:p>
    <w:p w:rsidR="0018582E" w:rsidRDefault="0018582E" w:rsidP="0018582E">
      <w:pPr>
        <w:ind w:left="851" w:hanging="709"/>
        <w:jc w:val="both"/>
        <w:rPr>
          <w:sz w:val="16"/>
          <w:szCs w:val="16"/>
        </w:rPr>
      </w:pPr>
    </w:p>
    <w:p w:rsidR="00031F81" w:rsidRPr="00031F81" w:rsidRDefault="00031F81" w:rsidP="0018582E">
      <w:pPr>
        <w:spacing w:before="1" w:line="183" w:lineRule="exact"/>
        <w:rPr>
          <w:sz w:val="16"/>
        </w:rPr>
      </w:pPr>
    </w:p>
    <w:sectPr w:rsidR="00031F81" w:rsidRPr="00031F81" w:rsidSect="008118C8">
      <w:headerReference w:type="default" r:id="rId8"/>
      <w:footerReference w:type="default" r:id="rId9"/>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E52" w:rsidRDefault="00170E52" w:rsidP="008118C8">
      <w:r>
        <w:separator/>
      </w:r>
    </w:p>
  </w:endnote>
  <w:endnote w:type="continuationSeparator" w:id="0">
    <w:p w:rsidR="00170E52" w:rsidRDefault="00170E52"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EE268E">
    <w:pPr>
      <w:pStyle w:val="BodyText"/>
      <w:spacing w:line="14" w:lineRule="auto"/>
      <w:rPr>
        <w:sz w:val="20"/>
      </w:rPr>
    </w:pPr>
    <w:r w:rsidRPr="00EE268E">
      <w:rPr>
        <w:lang w:val="en-US"/>
      </w:rPr>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EE268E">
      <w:rPr>
        <w:lang w:val="en-US"/>
      </w:rPr>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EE268E">
      <w:rPr>
        <w:lang w:val="en-US"/>
      </w:rPr>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8118C8" w:rsidRDefault="002E6373">
                <w:pPr>
                  <w:spacing w:before="13"/>
                  <w:ind w:left="20"/>
                  <w:rPr>
                    <w:sz w:val="16"/>
                  </w:rPr>
                </w:pPr>
                <w:r>
                  <w:rPr>
                    <w:sz w:val="16"/>
                  </w:rPr>
                  <w:t xml:space="preserve">Page </w:t>
                </w:r>
                <w:r w:rsidR="00EE268E">
                  <w:fldChar w:fldCharType="begin"/>
                </w:r>
                <w:r>
                  <w:rPr>
                    <w:sz w:val="16"/>
                  </w:rPr>
                  <w:instrText xml:space="preserve"> PAGE </w:instrText>
                </w:r>
                <w:r w:rsidR="00EE268E">
                  <w:fldChar w:fldCharType="separate"/>
                </w:r>
                <w:r w:rsidR="00F524F3">
                  <w:rPr>
                    <w:noProof/>
                    <w:sz w:val="16"/>
                  </w:rPr>
                  <w:t>1</w:t>
                </w:r>
                <w:r w:rsidR="00EE268E">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E52" w:rsidRDefault="00170E52" w:rsidP="008118C8">
      <w:r>
        <w:separator/>
      </w:r>
    </w:p>
  </w:footnote>
  <w:footnote w:type="continuationSeparator" w:id="0">
    <w:p w:rsidR="00170E52" w:rsidRDefault="00170E52"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EE268E">
    <w:pPr>
      <w:pStyle w:val="BodyText"/>
      <w:spacing w:line="14" w:lineRule="auto"/>
      <w:rPr>
        <w:sz w:val="20"/>
      </w:rPr>
    </w:pPr>
    <w:r w:rsidRPr="00EE268E">
      <w:rPr>
        <w:lang w:val="en-US"/>
      </w:rPr>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EE268E">
      <w:rPr>
        <w:lang w:val="en-US"/>
      </w:rPr>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8118C8" w:rsidRDefault="002E6373">
                <w:pPr>
                  <w:spacing w:before="13"/>
                  <w:ind w:left="20"/>
                  <w:rPr>
                    <w:sz w:val="16"/>
                  </w:rPr>
                </w:pPr>
                <w:r>
                  <w:rPr>
                    <w:sz w:val="16"/>
                  </w:rPr>
                  <w:t>Journal of Building Performance</w:t>
                </w:r>
              </w:p>
            </w:txbxContent>
          </v:textbox>
          <w10:wrap anchorx="page" anchory="page"/>
        </v:shape>
      </w:pict>
    </w:r>
    <w:r w:rsidRPr="00EE268E">
      <w:rPr>
        <w:lang w:val="en-US"/>
      </w:rPr>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8118C8" w:rsidRDefault="002E6373">
                <w:pPr>
                  <w:spacing w:before="13"/>
                  <w:ind w:left="20"/>
                  <w:rPr>
                    <w:sz w:val="16"/>
                  </w:rPr>
                </w:pPr>
                <w:r>
                  <w:rPr>
                    <w:sz w:val="16"/>
                  </w:rPr>
                  <w:t>ISSN: 2180-2106</w:t>
                </w:r>
              </w:p>
            </w:txbxContent>
          </v:textbox>
          <w10:wrap anchorx="page" anchory="page"/>
        </v:shape>
      </w:pict>
    </w:r>
    <w:r w:rsidRPr="00EE268E">
      <w:rPr>
        <w:lang w:val="en-US"/>
      </w:rPr>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8118C8" w:rsidRDefault="002E6373">
                <w:pPr>
                  <w:spacing w:before="13"/>
                  <w:ind w:left="20"/>
                  <w:rPr>
                    <w:sz w:val="16"/>
                  </w:rPr>
                </w:pPr>
                <w:r w:rsidRPr="00734FC0">
                  <w:rPr>
                    <w:sz w:val="16"/>
                  </w:rPr>
                  <w:t>Volume 9</w:t>
                </w:r>
                <w:r w:rsidR="00B2047C">
                  <w:rPr>
                    <w:sz w:val="16"/>
                  </w:rPr>
                  <w:t xml:space="preserve"> Issue 2</w:t>
                </w:r>
                <w:r w:rsidRPr="00734FC0">
                  <w:rPr>
                    <w:sz w:val="16"/>
                  </w:rPr>
                  <w:t xml:space="preserve"> 2018</w:t>
                </w:r>
              </w:p>
            </w:txbxContent>
          </v:textbox>
          <w10:wrap anchorx="page" anchory="page"/>
        </v:shape>
      </w:pict>
    </w:r>
    <w:r w:rsidRPr="00EE268E">
      <w:rPr>
        <w:lang w:val="en-US"/>
      </w:rPr>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8118C8" w:rsidRDefault="00EE268E">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C4FB9"/>
    <w:multiLevelType w:val="hybridMultilevel"/>
    <w:tmpl w:val="41364218"/>
    <w:lvl w:ilvl="0" w:tplc="15A6CA1A">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abstractNum w:abstractNumId="2">
    <w:nsid w:val="5F7843F3"/>
    <w:multiLevelType w:val="hybridMultilevel"/>
    <w:tmpl w:val="2E54A4D4"/>
    <w:lvl w:ilvl="0" w:tplc="DBF045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0525D"/>
    <w:rsid w:val="00031F81"/>
    <w:rsid w:val="00081BE2"/>
    <w:rsid w:val="000A1130"/>
    <w:rsid w:val="000A423C"/>
    <w:rsid w:val="000A59EC"/>
    <w:rsid w:val="000D6263"/>
    <w:rsid w:val="00170E52"/>
    <w:rsid w:val="0018582E"/>
    <w:rsid w:val="001A563A"/>
    <w:rsid w:val="001A631E"/>
    <w:rsid w:val="00231033"/>
    <w:rsid w:val="00271CC1"/>
    <w:rsid w:val="0027286F"/>
    <w:rsid w:val="002A3FF0"/>
    <w:rsid w:val="002D1499"/>
    <w:rsid w:val="002E6373"/>
    <w:rsid w:val="003057F3"/>
    <w:rsid w:val="003711B6"/>
    <w:rsid w:val="00381112"/>
    <w:rsid w:val="0038616E"/>
    <w:rsid w:val="00391579"/>
    <w:rsid w:val="00393CE1"/>
    <w:rsid w:val="003B5B4F"/>
    <w:rsid w:val="003B624A"/>
    <w:rsid w:val="003F4551"/>
    <w:rsid w:val="00431DA0"/>
    <w:rsid w:val="00432EF2"/>
    <w:rsid w:val="00443D80"/>
    <w:rsid w:val="004504E8"/>
    <w:rsid w:val="00485890"/>
    <w:rsid w:val="004B153E"/>
    <w:rsid w:val="00501A0C"/>
    <w:rsid w:val="00525E93"/>
    <w:rsid w:val="00552F3F"/>
    <w:rsid w:val="00585612"/>
    <w:rsid w:val="005E492B"/>
    <w:rsid w:val="00673246"/>
    <w:rsid w:val="00696C1E"/>
    <w:rsid w:val="006A1DE2"/>
    <w:rsid w:val="006C7050"/>
    <w:rsid w:val="00734FC0"/>
    <w:rsid w:val="00796A4C"/>
    <w:rsid w:val="007F33AA"/>
    <w:rsid w:val="007F59B4"/>
    <w:rsid w:val="0081049F"/>
    <w:rsid w:val="008118C8"/>
    <w:rsid w:val="00825C0C"/>
    <w:rsid w:val="00855823"/>
    <w:rsid w:val="008878E1"/>
    <w:rsid w:val="0089223B"/>
    <w:rsid w:val="008F229D"/>
    <w:rsid w:val="00930FCC"/>
    <w:rsid w:val="009346E7"/>
    <w:rsid w:val="00995851"/>
    <w:rsid w:val="00A13B88"/>
    <w:rsid w:val="00AB77C6"/>
    <w:rsid w:val="00AC6219"/>
    <w:rsid w:val="00AF41F5"/>
    <w:rsid w:val="00B0151B"/>
    <w:rsid w:val="00B2047C"/>
    <w:rsid w:val="00B622EA"/>
    <w:rsid w:val="00B901D4"/>
    <w:rsid w:val="00BA694D"/>
    <w:rsid w:val="00BB1D52"/>
    <w:rsid w:val="00BE7021"/>
    <w:rsid w:val="00C74A41"/>
    <w:rsid w:val="00C97A04"/>
    <w:rsid w:val="00D46CDC"/>
    <w:rsid w:val="00D775EF"/>
    <w:rsid w:val="00D945C0"/>
    <w:rsid w:val="00DC7558"/>
    <w:rsid w:val="00E417A3"/>
    <w:rsid w:val="00E42C3C"/>
    <w:rsid w:val="00E62BC6"/>
    <w:rsid w:val="00EB48DC"/>
    <w:rsid w:val="00ED5630"/>
    <w:rsid w:val="00EE268E"/>
    <w:rsid w:val="00EF120D"/>
    <w:rsid w:val="00F524F3"/>
    <w:rsid w:val="00F711F0"/>
    <w:rsid w:val="00F767B0"/>
    <w:rsid w:val="00F90F8E"/>
    <w:rsid w:val="00FE6688"/>
    <w:rsid w:val="00FF5953"/>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lang w:val="en-GB"/>
    </w:rPr>
  </w:style>
  <w:style w:type="paragraph" w:styleId="Heading1">
    <w:name w:val="heading 1"/>
    <w:basedOn w:val="Normal"/>
    <w:link w:val="Heading1Char"/>
    <w:uiPriority w:val="1"/>
    <w:qFormat/>
    <w:rsid w:val="008118C8"/>
    <w:pPr>
      <w:ind w:left="105"/>
      <w:outlineLvl w:val="0"/>
    </w:pPr>
    <w:rPr>
      <w:b/>
      <w:bCs/>
      <w:sz w:val="19"/>
      <w:szCs w:val="19"/>
    </w:rPr>
  </w:style>
  <w:style w:type="paragraph" w:styleId="Heading2">
    <w:name w:val="heading 2"/>
    <w:basedOn w:val="Normal"/>
    <w:next w:val="Normal"/>
    <w:link w:val="Heading2Char"/>
    <w:uiPriority w:val="9"/>
    <w:semiHidden/>
    <w:unhideWhenUsed/>
    <w:qFormat/>
    <w:rsid w:val="00431DA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BB1D52"/>
    <w:rPr>
      <w:rFonts w:ascii="Tahoma" w:hAnsi="Tahoma" w:cs="Tahoma"/>
      <w:sz w:val="16"/>
      <w:szCs w:val="16"/>
    </w:rPr>
  </w:style>
  <w:style w:type="character" w:customStyle="1" w:styleId="BalloonTextChar">
    <w:name w:val="Balloon Text Char"/>
    <w:basedOn w:val="DefaultParagraphFont"/>
    <w:link w:val="BalloonText"/>
    <w:uiPriority w:val="99"/>
    <w:semiHidden/>
    <w:rsid w:val="00BB1D52"/>
    <w:rPr>
      <w:rFonts w:ascii="Tahoma" w:eastAsia="Arial" w:hAnsi="Tahoma" w:cs="Tahoma"/>
      <w:sz w:val="16"/>
      <w:szCs w:val="16"/>
    </w:rPr>
  </w:style>
  <w:style w:type="character" w:styleId="Hyperlink">
    <w:name w:val="Hyperlink"/>
    <w:rsid w:val="0018582E"/>
    <w:rPr>
      <w:color w:val="0000FF"/>
      <w:u w:val="single"/>
    </w:rPr>
  </w:style>
  <w:style w:type="character" w:customStyle="1" w:styleId="Heading1Char">
    <w:name w:val="Heading 1 Char"/>
    <w:basedOn w:val="DefaultParagraphFont"/>
    <w:link w:val="Heading1"/>
    <w:uiPriority w:val="1"/>
    <w:rsid w:val="00EF120D"/>
    <w:rPr>
      <w:rFonts w:ascii="Arial" w:eastAsia="Arial" w:hAnsi="Arial" w:cs="Arial"/>
      <w:b/>
      <w:bCs/>
      <w:sz w:val="19"/>
      <w:szCs w:val="19"/>
      <w:lang w:val="en-GB"/>
    </w:rPr>
  </w:style>
  <w:style w:type="table" w:styleId="TableGrid">
    <w:name w:val="Table Grid"/>
    <w:basedOn w:val="TableNormal"/>
    <w:rsid w:val="00EF120D"/>
    <w:pPr>
      <w:widowControl/>
      <w:autoSpaceDE/>
      <w:autoSpaceDN/>
    </w:pPr>
    <w:rPr>
      <w:rFonts w:ascii="Times New Roman" w:eastAsia="Times New Roman" w:hAnsi="Times New Roman" w:cs="Times New Roman"/>
      <w:sz w:val="20"/>
      <w:szCs w:val="20"/>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31DA0"/>
    <w:rPr>
      <w:rFonts w:asciiTheme="majorHAnsi" w:eastAsiaTheme="majorEastAsia" w:hAnsiTheme="majorHAnsi" w:cstheme="majorBidi"/>
      <w:color w:val="365F91" w:themeColor="accent1" w:themeShade="BF"/>
      <w:sz w:val="26"/>
      <w:szCs w:val="26"/>
      <w:lang w:val="en-GB"/>
    </w:rPr>
  </w:style>
  <w:style w:type="paragraph" w:styleId="CommentText">
    <w:name w:val="annotation text"/>
    <w:basedOn w:val="Normal"/>
    <w:link w:val="CommentTextChar"/>
    <w:uiPriority w:val="99"/>
    <w:semiHidden/>
    <w:unhideWhenUsed/>
    <w:rsid w:val="00271CC1"/>
    <w:rPr>
      <w:sz w:val="20"/>
      <w:szCs w:val="20"/>
    </w:rPr>
  </w:style>
  <w:style w:type="character" w:customStyle="1" w:styleId="CommentTextChar">
    <w:name w:val="Comment Text Char"/>
    <w:basedOn w:val="DefaultParagraphFont"/>
    <w:link w:val="CommentText"/>
    <w:uiPriority w:val="99"/>
    <w:semiHidden/>
    <w:rsid w:val="00271CC1"/>
    <w:rPr>
      <w:rFonts w:ascii="Arial" w:eastAsia="Arial" w:hAnsi="Arial" w:cs="Arial"/>
      <w:sz w:val="20"/>
      <w:szCs w:val="20"/>
      <w:lang w:val="en-GB"/>
    </w:rPr>
  </w:style>
  <w:style w:type="character" w:styleId="CommentReference">
    <w:name w:val="annotation reference"/>
    <w:basedOn w:val="DefaultParagraphFont"/>
    <w:uiPriority w:val="99"/>
    <w:unhideWhenUsed/>
    <w:rsid w:val="00271CC1"/>
    <w:rPr>
      <w:sz w:val="16"/>
      <w:szCs w:val="16"/>
    </w:rPr>
  </w:style>
  <w:style w:type="character" w:customStyle="1" w:styleId="UnresolvedMention">
    <w:name w:val="Unresolved Mention"/>
    <w:basedOn w:val="DefaultParagraphFont"/>
    <w:uiPriority w:val="99"/>
    <w:semiHidden/>
    <w:unhideWhenUsed/>
    <w:rsid w:val="00930FC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ms-MY"/>
  <c:style val="21"/>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Sheet1!$B$1</c:f>
              <c:strCache>
                <c:ptCount val="1"/>
                <c:pt idx="0">
                  <c:v>Users</c:v>
                </c:pt>
              </c:strCache>
            </c:strRef>
          </c:tx>
          <c:spPr>
            <a:solidFill>
              <a:schemeClr val="accent5">
                <a:lumMod val="75000"/>
              </a:schemeClr>
            </a:solidFill>
          </c:spPr>
          <c:dLbls>
            <c:dLbl>
              <c:idx val="0"/>
              <c:tx>
                <c:rich>
                  <a:bodyPr/>
                  <a:lstStyle/>
                  <a:p>
                    <a:pPr>
                      <a:defRPr/>
                    </a:pPr>
                    <a:r>
                      <a:rPr lang="en-US"/>
                      <a:t>24%</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BAC-4793-88CE-18BE0D7EA3AC}"/>
                </c:ext>
              </c:extLst>
            </c:dLbl>
            <c:dLbl>
              <c:idx val="1"/>
              <c:tx>
                <c:rich>
                  <a:bodyPr/>
                  <a:lstStyle/>
                  <a:p>
                    <a:pPr>
                      <a:defRPr/>
                    </a:pPr>
                    <a:r>
                      <a:rPr lang="en-US"/>
                      <a:t>48%</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BAC-4793-88CE-18BE0D7EA3AC}"/>
                </c:ext>
              </c:extLst>
            </c:dLbl>
            <c:dLbl>
              <c:idx val="2"/>
              <c:tx>
                <c:rich>
                  <a:bodyPr/>
                  <a:lstStyle/>
                  <a:p>
                    <a:pPr>
                      <a:defRPr/>
                    </a:pPr>
                    <a:r>
                      <a:rPr lang="en-US"/>
                      <a:t>17%</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BAC-4793-88CE-18BE0D7EA3AC}"/>
                </c:ext>
              </c:extLst>
            </c:dLbl>
            <c:dLbl>
              <c:idx val="3"/>
              <c:tx>
                <c:rich>
                  <a:bodyPr/>
                  <a:lstStyle/>
                  <a:p>
                    <a:pPr>
                      <a:defRPr/>
                    </a:pPr>
                    <a:r>
                      <a:rPr lang="en-US"/>
                      <a:t>23%</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BAC-4793-88CE-18BE0D7EA3AC}"/>
                </c:ext>
              </c:extLst>
            </c:dLbl>
            <c:dLbl>
              <c:idx val="4"/>
              <c:tx>
                <c:rich>
                  <a:bodyPr/>
                  <a:lstStyle/>
                  <a:p>
                    <a:pPr>
                      <a:defRPr/>
                    </a:pPr>
                    <a:r>
                      <a:rPr lang="en-US"/>
                      <a:t>13%</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BAC-4793-88CE-18BE0D7EA3AC}"/>
                </c:ext>
              </c:extLst>
            </c:dLbl>
            <c:dLbl>
              <c:idx val="5"/>
              <c:tx>
                <c:rich>
                  <a:bodyPr/>
                  <a:lstStyle/>
                  <a:p>
                    <a:pPr>
                      <a:defRPr/>
                    </a:pPr>
                    <a:r>
                      <a:rPr lang="en-US"/>
                      <a:t>6%</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BAC-4793-88CE-18BE0D7EA3AC}"/>
                </c:ext>
              </c:extLst>
            </c:dLbl>
            <c:dLbl>
              <c:idx val="6"/>
              <c:tx>
                <c:rich>
                  <a:bodyPr/>
                  <a:lstStyle/>
                  <a:p>
                    <a:pPr>
                      <a:defRPr/>
                    </a:pPr>
                    <a:r>
                      <a:rPr lang="en-US"/>
                      <a:t>47%</a:t>
                    </a:r>
                  </a:p>
                </c:rich>
              </c:tx>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BAC-4793-88CE-18BE0D7EA3AC}"/>
                </c:ext>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Sheet1!$A$2:$A$8</c:f>
              <c:strCache>
                <c:ptCount val="7"/>
                <c:pt idx="0">
                  <c:v>1 pm - 2 pm</c:v>
                </c:pt>
                <c:pt idx="1">
                  <c:v>2 pm - 3 pm</c:v>
                </c:pt>
                <c:pt idx="2">
                  <c:v>3 pm - 4 pm</c:v>
                </c:pt>
                <c:pt idx="3">
                  <c:v>4 pm - 5 pm</c:v>
                </c:pt>
                <c:pt idx="4">
                  <c:v>5 pm - 6 pm</c:v>
                </c:pt>
                <c:pt idx="5">
                  <c:v>6 pm - 7 pm</c:v>
                </c:pt>
                <c:pt idx="6">
                  <c:v>7 pm - 8 pm</c:v>
                </c:pt>
              </c:strCache>
            </c:strRef>
          </c:cat>
          <c:val>
            <c:numRef>
              <c:f>Sheet1!$B$2:$B$8</c:f>
              <c:numCache>
                <c:formatCode>General</c:formatCode>
                <c:ptCount val="7"/>
                <c:pt idx="0">
                  <c:v>24</c:v>
                </c:pt>
                <c:pt idx="1">
                  <c:v>48</c:v>
                </c:pt>
                <c:pt idx="2">
                  <c:v>17</c:v>
                </c:pt>
                <c:pt idx="3">
                  <c:v>23</c:v>
                </c:pt>
                <c:pt idx="4">
                  <c:v>13</c:v>
                </c:pt>
                <c:pt idx="5">
                  <c:v>6</c:v>
                </c:pt>
                <c:pt idx="6">
                  <c:v>47</c:v>
                </c:pt>
              </c:numCache>
            </c:numRef>
          </c:val>
          <c:extLst xmlns:c16r2="http://schemas.microsoft.com/office/drawing/2015/06/chart">
            <c:ext xmlns:c16="http://schemas.microsoft.com/office/drawing/2014/chart" uri="{C3380CC4-5D6E-409C-BE32-E72D297353CC}">
              <c16:uniqueId val="{00000007-5BAC-4793-88CE-18BE0D7EA3AC}"/>
            </c:ext>
          </c:extLst>
        </c:ser>
        <c:axId val="90320256"/>
        <c:axId val="90330240"/>
      </c:barChart>
      <c:catAx>
        <c:axId val="90320256"/>
        <c:scaling>
          <c:orientation val="minMax"/>
        </c:scaling>
        <c:axPos val="l"/>
        <c:numFmt formatCode="General" sourceLinked="1"/>
        <c:tickLblPos val="nextTo"/>
        <c:crossAx val="90330240"/>
        <c:crosses val="autoZero"/>
        <c:auto val="1"/>
        <c:lblAlgn val="ctr"/>
        <c:lblOffset val="100"/>
      </c:catAx>
      <c:valAx>
        <c:axId val="90330240"/>
        <c:scaling>
          <c:orientation val="minMax"/>
        </c:scaling>
        <c:axPos val="b"/>
        <c:numFmt formatCode="General" sourceLinked="1"/>
        <c:tickLblPos val="nextTo"/>
        <c:crossAx val="90320256"/>
        <c:crosses val="autoZero"/>
        <c:crossBetween val="between"/>
      </c:valAx>
    </c:plotArea>
    <c:legend>
      <c:legendPos val="r"/>
    </c:legend>
    <c:plotVisOnly val="1"/>
    <c:dispBlanksAs val="gap"/>
  </c:chart>
  <c:spPr>
    <a:ln w="3166" cmpd="sng">
      <a:solidFill>
        <a:srgbClr val="000000"/>
      </a:solid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7</Pages>
  <Words>4907</Words>
  <Characters>27971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14</cp:revision>
  <dcterms:created xsi:type="dcterms:W3CDTF">2018-03-30T07:01:00Z</dcterms:created>
  <dcterms:modified xsi:type="dcterms:W3CDTF">2018-04-09T05:59:00Z</dcterms:modified>
</cp:coreProperties>
</file>